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486681">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320" w:rsidRDefault="00581320">
                            <w:r>
                              <w:rPr>
                                <w:noProof/>
                                <w:lang w:eastAsia="en-GB"/>
                              </w:rPr>
                              <w:drawing>
                                <wp:inline distT="0" distB="0" distL="0" distR="0">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KehAIAABA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Cl&#10;OEKehAIAABAFAAAOAAAAAAAAAAAAAAAAAC4CAABkcnMvZTJvRG9jLnhtbFBLAQItABQABgAIAAAA&#10;IQA8kLBT3wAAAAwBAAAPAAAAAAAAAAAAAAAAAN4EAABkcnMvZG93bnJldi54bWxQSwUGAAAAAAQA&#10;BADzAAAA6gUAAAAA&#10;" stroked="f">
                <v:textbox>
                  <w:txbxContent>
                    <w:p w:rsidR="00581320" w:rsidRDefault="00581320">
                      <w:r>
                        <w:rPr>
                          <w:noProof/>
                          <w:lang w:eastAsia="en-GB"/>
                        </w:rPr>
                        <w:drawing>
                          <wp:inline distT="0" distB="0" distL="0" distR="0">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rPr>
      </w:pPr>
    </w:p>
    <w:p w:rsidR="00F4367A" w:rsidRDefault="00F4367A">
      <w:pPr>
        <w:tabs>
          <w:tab w:val="left" w:pos="2160"/>
        </w:tabs>
        <w:rPr>
          <w:b/>
          <w:bCs/>
        </w:rPr>
      </w:pPr>
    </w:p>
    <w:p w:rsidR="00F4367A" w:rsidRDefault="00F4367A">
      <w:pPr>
        <w:rPr>
          <w:b/>
          <w:bCs/>
        </w:rPr>
      </w:pPr>
    </w:p>
    <w:p w:rsidR="00A90578" w:rsidRDefault="00F4367A" w:rsidP="00F814E3">
      <w:pPr>
        <w:tabs>
          <w:tab w:val="left" w:pos="2160"/>
        </w:tabs>
        <w:ind w:left="2160" w:hanging="2160"/>
        <w:rPr>
          <w:rFonts w:cs="Arial"/>
          <w:b/>
          <w:bCs/>
        </w:rPr>
      </w:pPr>
      <w:r>
        <w:rPr>
          <w:rFonts w:cs="Arial"/>
          <w:b/>
          <w:bCs/>
        </w:rPr>
        <w:t xml:space="preserve">To: </w:t>
      </w:r>
      <w:r w:rsidR="007B588D">
        <w:rPr>
          <w:rFonts w:cs="Arial"/>
          <w:b/>
          <w:bCs/>
        </w:rPr>
        <w:tab/>
      </w:r>
      <w:r w:rsidR="006F1722">
        <w:rPr>
          <w:rFonts w:cs="Arial"/>
          <w:b/>
          <w:bCs/>
        </w:rPr>
        <w:t>City Executive Board</w:t>
      </w:r>
      <w:r w:rsidR="00A90578">
        <w:rPr>
          <w:rFonts w:cs="Arial"/>
          <w:b/>
          <w:bCs/>
        </w:rPr>
        <w:t xml:space="preserve">      </w:t>
      </w:r>
    </w:p>
    <w:p w:rsidR="00F4367A" w:rsidRDefault="00F4367A" w:rsidP="00A90578">
      <w:pPr>
        <w:tabs>
          <w:tab w:val="left" w:pos="2160"/>
        </w:tabs>
        <w:rPr>
          <w:rFonts w:cs="Arial"/>
          <w:b/>
          <w:bCs/>
        </w:rPr>
      </w:pPr>
    </w:p>
    <w:p w:rsidR="006F1722" w:rsidRDefault="00F4367A">
      <w:pPr>
        <w:tabs>
          <w:tab w:val="left" w:pos="2160"/>
          <w:tab w:val="left" w:pos="6300"/>
          <w:tab w:val="left" w:pos="7380"/>
        </w:tabs>
        <w:rPr>
          <w:rFonts w:cs="Arial"/>
          <w:b/>
          <w:bCs/>
        </w:rPr>
      </w:pPr>
      <w:r>
        <w:rPr>
          <w:rFonts w:cs="Arial"/>
          <w:b/>
          <w:bCs/>
        </w:rPr>
        <w:t>Date:</w:t>
      </w:r>
      <w:r>
        <w:rPr>
          <w:rFonts w:cs="Arial"/>
          <w:b/>
          <w:bCs/>
        </w:rPr>
        <w:tab/>
      </w:r>
      <w:r w:rsidR="00156D1F">
        <w:rPr>
          <w:rFonts w:cs="Arial"/>
          <w:b/>
          <w:bCs/>
        </w:rPr>
        <w:t>1</w:t>
      </w:r>
      <w:r w:rsidR="00B9594A">
        <w:rPr>
          <w:rFonts w:cs="Arial"/>
          <w:b/>
          <w:bCs/>
        </w:rPr>
        <w:t>0</w:t>
      </w:r>
      <w:r w:rsidR="004F27A6">
        <w:rPr>
          <w:rFonts w:cs="Arial"/>
          <w:b/>
          <w:bCs/>
        </w:rPr>
        <w:t xml:space="preserve"> September 201</w:t>
      </w:r>
      <w:r w:rsidR="0098278E">
        <w:rPr>
          <w:rFonts w:cs="Arial"/>
          <w:b/>
          <w:bCs/>
        </w:rPr>
        <w:t>5</w:t>
      </w:r>
      <w:r>
        <w:rPr>
          <w:rFonts w:cs="Arial"/>
          <w:b/>
          <w:bCs/>
        </w:rPr>
        <w:tab/>
        <w:t xml:space="preserve"> </w:t>
      </w:r>
    </w:p>
    <w:p w:rsidR="00F4367A" w:rsidRDefault="006F1722">
      <w:pPr>
        <w:tabs>
          <w:tab w:val="left" w:pos="2160"/>
          <w:tab w:val="left" w:pos="6300"/>
          <w:tab w:val="left" w:pos="7380"/>
        </w:tabs>
        <w:rPr>
          <w:rFonts w:cs="Arial"/>
          <w:b/>
          <w:bCs/>
        </w:rPr>
      </w:pPr>
      <w:r>
        <w:rPr>
          <w:rFonts w:cs="Arial"/>
          <w:b/>
          <w:bCs/>
        </w:rPr>
        <w:tab/>
      </w:r>
      <w:r w:rsidR="00F4367A">
        <w:rPr>
          <w:rFonts w:cs="Arial"/>
          <w:b/>
          <w:bCs/>
        </w:rPr>
        <w:tab/>
      </w:r>
    </w:p>
    <w:p w:rsidR="002A01D0" w:rsidRDefault="002A01D0" w:rsidP="002A01D0">
      <w:pPr>
        <w:tabs>
          <w:tab w:val="left" w:pos="2160"/>
          <w:tab w:val="left" w:pos="6300"/>
          <w:tab w:val="left" w:pos="7380"/>
        </w:tabs>
        <w:rPr>
          <w:rFonts w:cs="Arial"/>
          <w:b/>
          <w:bCs/>
        </w:rPr>
      </w:pPr>
      <w:r>
        <w:rPr>
          <w:rFonts w:cs="Arial"/>
          <w:b/>
          <w:bCs/>
        </w:rPr>
        <w:tab/>
      </w:r>
    </w:p>
    <w:p w:rsidR="00F4367A" w:rsidRDefault="00F4367A" w:rsidP="003F1B13">
      <w:pPr>
        <w:ind w:left="2160" w:hanging="2160"/>
        <w:rPr>
          <w:rFonts w:cs="Arial"/>
          <w:b/>
          <w:bCs/>
        </w:rPr>
      </w:pPr>
      <w:r>
        <w:rPr>
          <w:rFonts w:cs="Arial"/>
          <w:b/>
          <w:bCs/>
        </w:rPr>
        <w:t>Report of:</w:t>
      </w:r>
      <w:r>
        <w:rPr>
          <w:rFonts w:cs="Arial"/>
          <w:b/>
          <w:bCs/>
        </w:rPr>
        <w:tab/>
      </w:r>
      <w:r w:rsidR="00AE5EB7">
        <w:rPr>
          <w:rFonts w:cs="Arial"/>
          <w:b/>
          <w:bCs/>
        </w:rPr>
        <w:t>Head of Financ</w:t>
      </w:r>
      <w:r w:rsidR="00236642">
        <w:rPr>
          <w:rFonts w:cs="Arial"/>
          <w:b/>
          <w:bCs/>
        </w:rPr>
        <w:t>ial Services</w:t>
      </w:r>
    </w:p>
    <w:p w:rsidR="00F4367A" w:rsidRDefault="00F4367A">
      <w:pPr>
        <w:tabs>
          <w:tab w:val="left" w:pos="2160"/>
        </w:tabs>
        <w:rPr>
          <w:rFonts w:cs="Arial"/>
          <w:b/>
          <w:bCs/>
        </w:rPr>
      </w:pPr>
    </w:p>
    <w:p w:rsidR="00F4367A" w:rsidRDefault="00F4367A" w:rsidP="002A01D0">
      <w:pPr>
        <w:tabs>
          <w:tab w:val="left" w:pos="2160"/>
        </w:tabs>
        <w:rPr>
          <w:rFonts w:cs="Arial"/>
        </w:rPr>
      </w:pPr>
      <w:r>
        <w:rPr>
          <w:rFonts w:cs="Arial"/>
          <w:b/>
          <w:bCs/>
        </w:rPr>
        <w:t xml:space="preserve">Title of Report: </w:t>
      </w:r>
      <w:r>
        <w:rPr>
          <w:rFonts w:cs="Arial"/>
          <w:b/>
          <w:bCs/>
        </w:rPr>
        <w:tab/>
      </w:r>
      <w:r w:rsidR="007B588D">
        <w:rPr>
          <w:rFonts w:cs="Arial"/>
          <w:b/>
          <w:bCs/>
        </w:rPr>
        <w:t>Treasury Management Annual Report 20</w:t>
      </w:r>
      <w:r w:rsidR="00977817">
        <w:rPr>
          <w:rFonts w:cs="Arial"/>
          <w:b/>
          <w:bCs/>
        </w:rPr>
        <w:t>1</w:t>
      </w:r>
      <w:r w:rsidR="0098278E">
        <w:rPr>
          <w:rFonts w:cs="Arial"/>
          <w:b/>
          <w:bCs/>
        </w:rPr>
        <w:t>4</w:t>
      </w:r>
      <w:r w:rsidR="007B588D">
        <w:rPr>
          <w:rFonts w:cs="Arial"/>
          <w:b/>
          <w:bCs/>
        </w:rPr>
        <w:t>/201</w:t>
      </w:r>
      <w:r w:rsidR="0098278E">
        <w:rPr>
          <w:rFonts w:cs="Arial"/>
          <w:b/>
          <w:bCs/>
        </w:rPr>
        <w:t>5</w:t>
      </w:r>
      <w:r w:rsidR="00B116A2">
        <w:rPr>
          <w:rFonts w:cs="Arial"/>
          <w:b/>
          <w:bCs/>
        </w:rPr>
        <w:t xml:space="preserve"> </w:t>
      </w:r>
    </w:p>
    <w:p w:rsidR="00F4367A" w:rsidRDefault="00F4367A">
      <w:pPr>
        <w:pStyle w:val="Heading1"/>
        <w:jc w:val="center"/>
        <w:rPr>
          <w:u w:val="single"/>
        </w:rPr>
      </w:pPr>
    </w:p>
    <w:p w:rsidR="00F4367A" w:rsidRDefault="00F4367A" w:rsidP="00BC1A13">
      <w:pPr>
        <w:pStyle w:val="Heading1"/>
        <w:jc w:val="center"/>
        <w:rPr>
          <w:u w:val="single"/>
        </w:rPr>
      </w:pPr>
    </w:p>
    <w:p w:rsidR="00F4367A" w:rsidRDefault="00F4367A" w:rsidP="00BC1A1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BC1A13">
      <w:pPr>
        <w:pBdr>
          <w:top w:val="single" w:sz="4" w:space="1" w:color="auto"/>
          <w:left w:val="single" w:sz="4" w:space="4" w:color="auto"/>
          <w:bottom w:val="single" w:sz="4" w:space="1" w:color="auto"/>
          <w:right w:val="single" w:sz="4" w:space="4" w:color="auto"/>
        </w:pBdr>
        <w:rPr>
          <w:rFonts w:cs="Arial"/>
        </w:rPr>
      </w:pPr>
    </w:p>
    <w:p w:rsidR="00683B44" w:rsidRDefault="00F4367A" w:rsidP="00BC1A13">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7B588D">
        <w:rPr>
          <w:rFonts w:cs="Arial"/>
        </w:rPr>
        <w:t xml:space="preserve">The </w:t>
      </w:r>
      <w:r w:rsidR="00CD2701">
        <w:rPr>
          <w:rFonts w:cs="Arial"/>
        </w:rPr>
        <w:t xml:space="preserve">report sets out the Council’s </w:t>
      </w:r>
      <w:r w:rsidR="007B588D">
        <w:rPr>
          <w:rFonts w:cs="Arial"/>
        </w:rPr>
        <w:t xml:space="preserve">treasury </w:t>
      </w:r>
      <w:r w:rsidR="00CD2701">
        <w:rPr>
          <w:rFonts w:cs="Arial"/>
        </w:rPr>
        <w:t xml:space="preserve">management </w:t>
      </w:r>
      <w:r w:rsidR="007B588D">
        <w:rPr>
          <w:rFonts w:cs="Arial"/>
        </w:rPr>
        <w:t xml:space="preserve">activity </w:t>
      </w:r>
      <w:r w:rsidR="008C0733">
        <w:rPr>
          <w:rFonts w:cs="Arial"/>
        </w:rPr>
        <w:t xml:space="preserve">and performance </w:t>
      </w:r>
      <w:r w:rsidR="007B588D">
        <w:rPr>
          <w:rFonts w:cs="Arial"/>
        </w:rPr>
        <w:t xml:space="preserve">for </w:t>
      </w:r>
      <w:r w:rsidR="00977817">
        <w:rPr>
          <w:rFonts w:cs="Arial"/>
        </w:rPr>
        <w:t>201</w:t>
      </w:r>
      <w:r w:rsidR="0098278E">
        <w:rPr>
          <w:rFonts w:cs="Arial"/>
        </w:rPr>
        <w:t>4</w:t>
      </w:r>
      <w:r w:rsidR="007B588D">
        <w:rPr>
          <w:rFonts w:cs="Arial"/>
        </w:rPr>
        <w:t>/</w:t>
      </w:r>
      <w:r w:rsidR="00977817">
        <w:rPr>
          <w:rFonts w:cs="Arial"/>
        </w:rPr>
        <w:t>201</w:t>
      </w:r>
      <w:r w:rsidR="0098278E">
        <w:rPr>
          <w:rFonts w:cs="Arial"/>
        </w:rPr>
        <w:t>5</w:t>
      </w:r>
      <w:r w:rsidR="00683B44">
        <w:rPr>
          <w:rFonts w:cs="Arial"/>
        </w:rPr>
        <w:t xml:space="preserve"> and </w:t>
      </w:r>
      <w:r w:rsidR="00AE00B0">
        <w:rPr>
          <w:rFonts w:cs="Arial"/>
        </w:rPr>
        <w:t xml:space="preserve">recommends </w:t>
      </w:r>
      <w:r w:rsidR="00683B44">
        <w:rPr>
          <w:rFonts w:cs="Arial"/>
        </w:rPr>
        <w:t xml:space="preserve">some changes to the Treasury </w:t>
      </w:r>
      <w:r w:rsidR="00AE00B0">
        <w:rPr>
          <w:rFonts w:cs="Arial"/>
        </w:rPr>
        <w:t xml:space="preserve">Management </w:t>
      </w:r>
      <w:r w:rsidR="00683B44">
        <w:rPr>
          <w:rFonts w:cs="Arial"/>
        </w:rPr>
        <w:t>Strategy for 2015/16</w:t>
      </w:r>
      <w:r w:rsidR="00AE00B0">
        <w:rPr>
          <w:rFonts w:cs="Arial"/>
        </w:rPr>
        <w:t>.</w:t>
      </w:r>
    </w:p>
    <w:p w:rsidR="00F4367A" w:rsidRDefault="00F4367A" w:rsidP="00BC1A13">
      <w:pPr>
        <w:pBdr>
          <w:top w:val="single" w:sz="4" w:space="1" w:color="auto"/>
          <w:left w:val="single" w:sz="4" w:space="4" w:color="auto"/>
          <w:bottom w:val="single" w:sz="4" w:space="1" w:color="auto"/>
          <w:right w:val="single" w:sz="4" w:space="4" w:color="auto"/>
        </w:pBdr>
        <w:rPr>
          <w:rFonts w:cs="Arial"/>
        </w:rPr>
      </w:pPr>
    </w:p>
    <w:p w:rsidR="00F4367A" w:rsidRDefault="007B588D" w:rsidP="00BC1A13">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 No</w:t>
      </w:r>
    </w:p>
    <w:p w:rsidR="00F4367A" w:rsidRDefault="00F4367A" w:rsidP="00BC1A13">
      <w:pPr>
        <w:pBdr>
          <w:top w:val="single" w:sz="4" w:space="1" w:color="auto"/>
          <w:left w:val="single" w:sz="4" w:space="4" w:color="auto"/>
          <w:bottom w:val="single" w:sz="4" w:space="1" w:color="auto"/>
          <w:right w:val="single" w:sz="4" w:space="4" w:color="auto"/>
        </w:pBdr>
        <w:rPr>
          <w:rFonts w:cs="Arial"/>
        </w:rPr>
      </w:pPr>
    </w:p>
    <w:p w:rsidR="00F4367A" w:rsidRDefault="00F4367A" w:rsidP="00BC1A13">
      <w:pPr>
        <w:pStyle w:val="Heading1"/>
        <w:pBdr>
          <w:top w:val="single" w:sz="4" w:space="1" w:color="auto"/>
          <w:left w:val="single" w:sz="4" w:space="4" w:color="auto"/>
          <w:bottom w:val="single" w:sz="4" w:space="1" w:color="auto"/>
          <w:right w:val="single" w:sz="4" w:space="4" w:color="auto"/>
        </w:pBdr>
      </w:pPr>
      <w:r>
        <w:rPr>
          <w:rFonts w:cs="Arial"/>
        </w:rPr>
        <w:t xml:space="preserve">Executive lead member: </w:t>
      </w:r>
      <w:r w:rsidR="00962AA3">
        <w:rPr>
          <w:rFonts w:cs="Arial"/>
          <w:b w:val="0"/>
          <w:bCs w:val="0"/>
        </w:rPr>
        <w:t>Councillor Ed Turner, Executive Board Member for Finance, Asset Management and Public Health</w:t>
      </w:r>
    </w:p>
    <w:p w:rsidR="00F4367A" w:rsidRDefault="00F4367A" w:rsidP="00BC1A13">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8346C7">
        <w:rPr>
          <w:rFonts w:cs="Arial"/>
          <w:b/>
          <w:bCs/>
        </w:rPr>
        <w:t>Treasury Management Strategy</w:t>
      </w:r>
    </w:p>
    <w:p w:rsidR="00F4367A" w:rsidRDefault="00F4367A" w:rsidP="00BC1A13">
      <w:pPr>
        <w:pStyle w:val="Heading1"/>
        <w:pBdr>
          <w:top w:val="single" w:sz="4" w:space="1" w:color="auto"/>
          <w:left w:val="single" w:sz="4" w:space="4" w:color="auto"/>
          <w:bottom w:val="single" w:sz="4" w:space="1" w:color="auto"/>
          <w:right w:val="single" w:sz="4" w:space="4" w:color="auto"/>
        </w:pBdr>
      </w:pPr>
      <w:bookmarkStart w:id="0" w:name="_GoBack"/>
      <w:bookmarkEnd w:id="0"/>
    </w:p>
    <w:p w:rsidR="00577D16" w:rsidRDefault="00F4367A" w:rsidP="00BC1A13">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w:t>
      </w:r>
      <w:r w:rsidR="00683B44">
        <w:rPr>
          <w:rFonts w:cs="Arial"/>
          <w:b/>
        </w:rPr>
        <w:t>s</w:t>
      </w:r>
      <w:r>
        <w:rPr>
          <w:rFonts w:cs="Arial"/>
          <w:b/>
        </w:rPr>
        <w:t xml:space="preserve">: </w:t>
      </w:r>
      <w:r w:rsidR="00236642" w:rsidRPr="00385544">
        <w:rPr>
          <w:rFonts w:cs="Arial"/>
        </w:rPr>
        <w:t>Th</w:t>
      </w:r>
      <w:r w:rsidR="0022091A" w:rsidRPr="00385544">
        <w:rPr>
          <w:rFonts w:cs="Arial"/>
        </w:rPr>
        <w:t xml:space="preserve">at the </w:t>
      </w:r>
      <w:r w:rsidR="00236642" w:rsidRPr="00385544">
        <w:rPr>
          <w:rFonts w:cs="Arial"/>
        </w:rPr>
        <w:t xml:space="preserve">City Executive Board </w:t>
      </w:r>
      <w:r w:rsidR="00647396">
        <w:rPr>
          <w:rFonts w:cs="Arial"/>
        </w:rPr>
        <w:t>resolves to</w:t>
      </w:r>
      <w:r w:rsidR="00577D16">
        <w:rPr>
          <w:rFonts w:cs="Arial"/>
        </w:rPr>
        <w:t>:</w:t>
      </w:r>
    </w:p>
    <w:p w:rsidR="00BC1A13" w:rsidRDefault="00BC1A13" w:rsidP="00BC1A13">
      <w:pPr>
        <w:pBdr>
          <w:top w:val="single" w:sz="4" w:space="1" w:color="auto"/>
          <w:left w:val="single" w:sz="4" w:space="4" w:color="auto"/>
          <w:bottom w:val="single" w:sz="4" w:space="1" w:color="auto"/>
          <w:right w:val="single" w:sz="4" w:space="4" w:color="auto"/>
        </w:pBdr>
        <w:tabs>
          <w:tab w:val="left" w:pos="3048"/>
        </w:tabs>
        <w:rPr>
          <w:rFonts w:cs="Arial"/>
        </w:rPr>
      </w:pPr>
    </w:p>
    <w:p w:rsidR="00577D16" w:rsidRDefault="0022091A" w:rsidP="00BC1A13">
      <w:pPr>
        <w:pStyle w:val="ListParagraph"/>
        <w:numPr>
          <w:ilvl w:val="0"/>
          <w:numId w:val="45"/>
        </w:numPr>
        <w:pBdr>
          <w:top w:val="single" w:sz="4" w:space="1" w:color="auto"/>
          <w:left w:val="single" w:sz="4" w:space="4" w:color="auto"/>
          <w:bottom w:val="single" w:sz="4" w:space="1" w:color="auto"/>
          <w:right w:val="single" w:sz="4" w:space="4" w:color="auto"/>
        </w:pBdr>
        <w:tabs>
          <w:tab w:val="left" w:pos="3048"/>
        </w:tabs>
        <w:ind w:left="426" w:hanging="426"/>
        <w:rPr>
          <w:rFonts w:cs="Arial"/>
        </w:rPr>
      </w:pPr>
      <w:r w:rsidRPr="00577D16">
        <w:rPr>
          <w:rFonts w:cs="Arial"/>
        </w:rPr>
        <w:t>note the report</w:t>
      </w:r>
      <w:r w:rsidR="00577D16">
        <w:rPr>
          <w:rFonts w:cs="Arial"/>
        </w:rPr>
        <w:t>;</w:t>
      </w:r>
      <w:r w:rsidRPr="00577D16">
        <w:rPr>
          <w:rFonts w:cs="Arial"/>
        </w:rPr>
        <w:t xml:space="preserve"> and</w:t>
      </w:r>
      <w:r w:rsidR="009D0FE2" w:rsidRPr="00577D16">
        <w:rPr>
          <w:rFonts w:cs="Arial"/>
        </w:rPr>
        <w:t xml:space="preserve"> </w:t>
      </w:r>
    </w:p>
    <w:p w:rsidR="00683B44" w:rsidRDefault="00683B44" w:rsidP="00BC1A13">
      <w:pPr>
        <w:pStyle w:val="ListParagraph"/>
        <w:numPr>
          <w:ilvl w:val="0"/>
          <w:numId w:val="45"/>
        </w:numPr>
        <w:pBdr>
          <w:top w:val="single" w:sz="4" w:space="1" w:color="auto"/>
          <w:left w:val="single" w:sz="4" w:space="4" w:color="auto"/>
          <w:bottom w:val="single" w:sz="4" w:space="1" w:color="auto"/>
          <w:right w:val="single" w:sz="4" w:space="4" w:color="auto"/>
        </w:pBdr>
        <w:tabs>
          <w:tab w:val="left" w:pos="3048"/>
        </w:tabs>
        <w:ind w:left="426" w:hanging="426"/>
        <w:rPr>
          <w:rFonts w:cs="Arial"/>
        </w:rPr>
      </w:pPr>
      <w:r w:rsidRPr="00BC1A13">
        <w:rPr>
          <w:rFonts w:cs="Arial"/>
          <w:b/>
        </w:rPr>
        <w:t>recommend Council</w:t>
      </w:r>
      <w:r w:rsidR="0022091A" w:rsidRPr="00BC1A13">
        <w:rPr>
          <w:rFonts w:cs="Arial"/>
          <w:b/>
        </w:rPr>
        <w:t xml:space="preserve"> </w:t>
      </w:r>
      <w:r w:rsidR="00577D16" w:rsidRPr="00BC1A13">
        <w:rPr>
          <w:rFonts w:cs="Arial"/>
          <w:b/>
        </w:rPr>
        <w:t>to resolve to</w:t>
      </w:r>
      <w:r w:rsidR="00577D16" w:rsidRPr="00577D16">
        <w:rPr>
          <w:rFonts w:cs="Arial"/>
        </w:rPr>
        <w:t xml:space="preserve"> </w:t>
      </w:r>
      <w:r w:rsidR="00BC1A13">
        <w:rPr>
          <w:rFonts w:cs="Arial"/>
        </w:rPr>
        <w:t>a</w:t>
      </w:r>
      <w:r w:rsidR="00BC1A13" w:rsidRPr="00577D16">
        <w:rPr>
          <w:rFonts w:cs="Arial"/>
        </w:rPr>
        <w:t xml:space="preserve">pprove </w:t>
      </w:r>
      <w:r w:rsidRPr="00577D16">
        <w:rPr>
          <w:rFonts w:cs="Arial"/>
        </w:rPr>
        <w:t>the Revised MRP Policy</w:t>
      </w:r>
      <w:r w:rsidR="0022091A" w:rsidRPr="00577D16">
        <w:rPr>
          <w:rFonts w:cs="Arial"/>
        </w:rPr>
        <w:t xml:space="preserve"> </w:t>
      </w:r>
      <w:r w:rsidR="00C940AA" w:rsidRPr="00577D16">
        <w:rPr>
          <w:rFonts w:cs="Arial"/>
        </w:rPr>
        <w:t xml:space="preserve">as set out in Appendix 1 </w:t>
      </w:r>
      <w:r w:rsidR="0022091A" w:rsidRPr="00577D16">
        <w:rPr>
          <w:rFonts w:cs="Arial"/>
        </w:rPr>
        <w:t xml:space="preserve">and </w:t>
      </w:r>
      <w:r w:rsidR="00BC1A13">
        <w:rPr>
          <w:rFonts w:cs="Arial"/>
        </w:rPr>
        <w:t>a</w:t>
      </w:r>
      <w:r w:rsidR="00BC1A13" w:rsidRPr="00BC1A13">
        <w:rPr>
          <w:rFonts w:cs="Arial"/>
        </w:rPr>
        <w:t xml:space="preserve">pprove </w:t>
      </w:r>
      <w:r w:rsidRPr="00BC1A13">
        <w:rPr>
          <w:rFonts w:cs="Arial"/>
        </w:rPr>
        <w:t>the amendment to the Non-Specified Investments list</w:t>
      </w:r>
      <w:r w:rsidR="00C940AA" w:rsidRPr="00BC1A13">
        <w:rPr>
          <w:rFonts w:cs="Arial"/>
        </w:rPr>
        <w:t xml:space="preserve"> attached at Appendix 2</w:t>
      </w:r>
    </w:p>
    <w:p w:rsidR="00683B44" w:rsidRDefault="00683B44" w:rsidP="002011F8">
      <w:pPr>
        <w:rPr>
          <w:rFonts w:cs="Arial"/>
        </w:rPr>
      </w:pPr>
    </w:p>
    <w:p w:rsidR="00683B44" w:rsidRDefault="00683B44" w:rsidP="00683B44">
      <w:pPr>
        <w:rPr>
          <w:rFonts w:cs="Arial"/>
        </w:rPr>
      </w:pPr>
      <w:r>
        <w:rPr>
          <w:rFonts w:cs="Arial"/>
          <w:b/>
        </w:rPr>
        <w:t>Appendices:</w:t>
      </w:r>
      <w:r>
        <w:rPr>
          <w:rFonts w:cs="Arial"/>
        </w:rPr>
        <w:t xml:space="preserve"> </w:t>
      </w:r>
    </w:p>
    <w:p w:rsidR="00683B44" w:rsidRDefault="00683B44" w:rsidP="00683B44">
      <w:pPr>
        <w:rPr>
          <w:rFonts w:cs="Arial"/>
        </w:rPr>
      </w:pPr>
      <w:r>
        <w:rPr>
          <w:rFonts w:cs="Arial"/>
        </w:rPr>
        <w:t>Appendix 1 – Revised MRP Policy</w:t>
      </w:r>
    </w:p>
    <w:p w:rsidR="00683B44" w:rsidRDefault="00683B44" w:rsidP="00683B44">
      <w:pPr>
        <w:rPr>
          <w:rFonts w:cs="Arial"/>
        </w:rPr>
      </w:pPr>
      <w:r>
        <w:rPr>
          <w:rFonts w:cs="Arial"/>
        </w:rPr>
        <w:t>Appendix 2 – Amended Non-Specified Investments list</w:t>
      </w:r>
    </w:p>
    <w:p w:rsidR="00683B44" w:rsidRDefault="00D81FD8" w:rsidP="002011F8">
      <w:pPr>
        <w:rPr>
          <w:rFonts w:cs="Arial"/>
        </w:rPr>
      </w:pPr>
      <w:r>
        <w:rPr>
          <w:rFonts w:cs="Arial"/>
        </w:rPr>
        <w:t>Appendix 3 – Risk Register</w:t>
      </w:r>
    </w:p>
    <w:p w:rsidR="003C7A90" w:rsidRDefault="003C7A90" w:rsidP="002011F8">
      <w:pPr>
        <w:rPr>
          <w:rFonts w:cs="Arial"/>
          <w:b/>
        </w:rPr>
      </w:pPr>
      <w:r>
        <w:rPr>
          <w:rFonts w:cs="Arial"/>
          <w:b/>
        </w:rPr>
        <w:br w:type="page"/>
      </w:r>
    </w:p>
    <w:p w:rsidR="007B588D" w:rsidRPr="00EA676E" w:rsidRDefault="007B588D" w:rsidP="002011F8">
      <w:pPr>
        <w:rPr>
          <w:rFonts w:cs="Arial"/>
          <w:b/>
        </w:rPr>
      </w:pPr>
      <w:r w:rsidRPr="00EA676E">
        <w:rPr>
          <w:rFonts w:cs="Arial"/>
          <w:b/>
        </w:rPr>
        <w:lastRenderedPageBreak/>
        <w:t>Executive Summary</w:t>
      </w:r>
    </w:p>
    <w:p w:rsidR="007B588D" w:rsidRPr="003C7A90" w:rsidRDefault="007B588D" w:rsidP="002011F8">
      <w:pPr>
        <w:rPr>
          <w:rFonts w:cs="Arial"/>
          <w:i/>
        </w:rPr>
      </w:pPr>
    </w:p>
    <w:p w:rsidR="006D1AD3" w:rsidRPr="003C7A90" w:rsidRDefault="00931998" w:rsidP="00BC1A13">
      <w:pPr>
        <w:numPr>
          <w:ilvl w:val="0"/>
          <w:numId w:val="3"/>
        </w:numPr>
        <w:ind w:hanging="502"/>
      </w:pPr>
      <w:r w:rsidRPr="003C7A90">
        <w:t xml:space="preserve">The </w:t>
      </w:r>
      <w:r w:rsidR="004E6320" w:rsidRPr="003C7A90">
        <w:t>Council</w:t>
      </w:r>
      <w:r w:rsidR="00983FAC" w:rsidRPr="003C7A90">
        <w:t xml:space="preserve"> held investments </w:t>
      </w:r>
      <w:r w:rsidR="00DA234D">
        <w:t xml:space="preserve">of </w:t>
      </w:r>
      <w:r w:rsidR="00983FAC" w:rsidRPr="003C7A90">
        <w:t>approximately £</w:t>
      </w:r>
      <w:r w:rsidR="009F423A" w:rsidRPr="003C7A90">
        <w:t>51</w:t>
      </w:r>
      <w:r w:rsidR="00983FAC" w:rsidRPr="003C7A90">
        <w:t xml:space="preserve"> million as at 31 March 201</w:t>
      </w:r>
      <w:r w:rsidR="0098278E" w:rsidRPr="003C7A90">
        <w:t>5</w:t>
      </w:r>
      <w:r w:rsidR="00983FAC" w:rsidRPr="003C7A90">
        <w:t>.  Interest earn</w:t>
      </w:r>
      <w:r w:rsidR="00F814E3" w:rsidRPr="003C7A90">
        <w:t>ed</w:t>
      </w:r>
      <w:r w:rsidR="00983FAC" w:rsidRPr="003C7A90">
        <w:t xml:space="preserve"> during the year was approximately £</w:t>
      </w:r>
      <w:r w:rsidR="00E85E43">
        <w:t>0.</w:t>
      </w:r>
      <w:r w:rsidR="00543974" w:rsidRPr="003C7A90">
        <w:t>675</w:t>
      </w:r>
      <w:r w:rsidR="00E85E43">
        <w:t xml:space="preserve"> million</w:t>
      </w:r>
      <w:r w:rsidR="00983FAC" w:rsidRPr="003C7A90">
        <w:t xml:space="preserve"> against a</w:t>
      </w:r>
      <w:r w:rsidR="00CB20EA">
        <w:t>n</w:t>
      </w:r>
      <w:r w:rsidR="00983FAC" w:rsidRPr="003C7A90">
        <w:t xml:space="preserve"> </w:t>
      </w:r>
      <w:r w:rsidR="00C9306E" w:rsidRPr="003C7A90">
        <w:t>income</w:t>
      </w:r>
      <w:r w:rsidR="009E3E74" w:rsidRPr="003C7A90">
        <w:t xml:space="preserve"> target</w:t>
      </w:r>
      <w:r w:rsidR="00983FAC" w:rsidRPr="003C7A90">
        <w:t xml:space="preserve"> of £</w:t>
      </w:r>
      <w:r w:rsidR="00E85E43">
        <w:t>0.</w:t>
      </w:r>
      <w:r w:rsidR="001F1C5C">
        <w:t>658</w:t>
      </w:r>
      <w:r w:rsidR="00E85E43">
        <w:t xml:space="preserve"> million</w:t>
      </w:r>
      <w:r w:rsidR="00983FAC" w:rsidRPr="003C7A90">
        <w:t>.</w:t>
      </w:r>
    </w:p>
    <w:p w:rsidR="00983FAC" w:rsidRDefault="00983FAC" w:rsidP="00BC1A13">
      <w:pPr>
        <w:ind w:left="360" w:hanging="502"/>
      </w:pPr>
    </w:p>
    <w:p w:rsidR="00385544" w:rsidRDefault="00385544" w:rsidP="00BC1A13">
      <w:pPr>
        <w:numPr>
          <w:ilvl w:val="0"/>
          <w:numId w:val="3"/>
        </w:numPr>
        <w:ind w:hanging="502"/>
      </w:pPr>
      <w:r w:rsidRPr="003B344C">
        <w:t xml:space="preserve">The average rate of return on the Council’s investments </w:t>
      </w:r>
      <w:r>
        <w:t xml:space="preserve">in </w:t>
      </w:r>
      <w:r w:rsidRPr="003B344C">
        <w:t>201</w:t>
      </w:r>
      <w:r>
        <w:t>4</w:t>
      </w:r>
      <w:r w:rsidRPr="003B344C">
        <w:t>/201</w:t>
      </w:r>
      <w:r>
        <w:t>5</w:t>
      </w:r>
      <w:r w:rsidRPr="003B344C">
        <w:t xml:space="preserve"> </w:t>
      </w:r>
      <w:r>
        <w:t>was 1.18% compared to 0.92% in 2013/14</w:t>
      </w:r>
      <w:r w:rsidRPr="003B344C">
        <w:t>.</w:t>
      </w:r>
      <w:r w:rsidRPr="003B344C">
        <w:rPr>
          <w:color w:val="FF0000"/>
        </w:rPr>
        <w:t xml:space="preserve"> </w:t>
      </w:r>
      <w:r w:rsidRPr="003B344C">
        <w:t xml:space="preserve">This </w:t>
      </w:r>
      <w:r>
        <w:t>was</w:t>
      </w:r>
      <w:r w:rsidRPr="003B344C">
        <w:t xml:space="preserve"> </w:t>
      </w:r>
      <w:r>
        <w:t>a</w:t>
      </w:r>
      <w:r w:rsidRPr="003B344C">
        <w:t>b</w:t>
      </w:r>
      <w:r>
        <w:t>ove</w:t>
      </w:r>
      <w:r w:rsidRPr="003B344C">
        <w:t xml:space="preserve"> the Council’s performance target of 1.0% and </w:t>
      </w:r>
      <w:r>
        <w:t xml:space="preserve">primarily </w:t>
      </w:r>
      <w:r w:rsidRPr="004E160A">
        <w:t xml:space="preserve">due to </w:t>
      </w:r>
      <w:r>
        <w:t>increased investments in property funds</w:t>
      </w:r>
      <w:r w:rsidRPr="004E160A">
        <w:t>.</w:t>
      </w:r>
    </w:p>
    <w:p w:rsidR="00385544" w:rsidRDefault="00385544" w:rsidP="00BC1A13">
      <w:pPr>
        <w:ind w:hanging="502"/>
      </w:pPr>
    </w:p>
    <w:p w:rsidR="00385544" w:rsidRPr="0002489B" w:rsidRDefault="00385544" w:rsidP="00BC1A13">
      <w:pPr>
        <w:numPr>
          <w:ilvl w:val="0"/>
          <w:numId w:val="3"/>
        </w:numPr>
        <w:ind w:hanging="502"/>
      </w:pPr>
      <w:r w:rsidRPr="0002489B">
        <w:t>The Council has £0.</w:t>
      </w:r>
      <w:r>
        <w:t>379 million</w:t>
      </w:r>
      <w:r w:rsidRPr="0002489B">
        <w:t xml:space="preserve"> outstanding with the failed Icelandic Banks</w:t>
      </w:r>
      <w:r>
        <w:t xml:space="preserve">.  </w:t>
      </w:r>
      <w:r w:rsidRPr="0002489B">
        <w:t>£0.</w:t>
      </w:r>
      <w:r>
        <w:t xml:space="preserve">082 </w:t>
      </w:r>
      <w:r w:rsidRPr="0002489B">
        <w:t>m</w:t>
      </w:r>
      <w:r>
        <w:t>illion</w:t>
      </w:r>
      <w:r w:rsidRPr="0002489B">
        <w:t xml:space="preserve"> was received in year, and it is expected that the </w:t>
      </w:r>
      <w:r w:rsidR="000C572E">
        <w:t xml:space="preserve">majority of the </w:t>
      </w:r>
      <w:r w:rsidRPr="0002489B">
        <w:t xml:space="preserve">remaining funds will be received in due course.  Further information can be found in paragraphs </w:t>
      </w:r>
      <w:r w:rsidRPr="00A06591">
        <w:t>2</w:t>
      </w:r>
      <w:r w:rsidR="002E06AF">
        <w:t>4</w:t>
      </w:r>
      <w:r w:rsidRPr="00A06591">
        <w:t>-2</w:t>
      </w:r>
      <w:r w:rsidR="002E06AF">
        <w:t>6</w:t>
      </w:r>
      <w:r w:rsidRPr="0071722D">
        <w:t>.</w:t>
      </w:r>
    </w:p>
    <w:p w:rsidR="00385544" w:rsidRDefault="00385544" w:rsidP="00BC1A13">
      <w:pPr>
        <w:ind w:left="360" w:hanging="502"/>
      </w:pPr>
    </w:p>
    <w:p w:rsidR="00385544" w:rsidRPr="0002489B" w:rsidRDefault="00385544" w:rsidP="00BC1A13">
      <w:pPr>
        <w:numPr>
          <w:ilvl w:val="0"/>
          <w:numId w:val="3"/>
        </w:numPr>
        <w:ind w:hanging="502"/>
      </w:pPr>
      <w:r w:rsidRPr="00895AAC">
        <w:t>The Council</w:t>
      </w:r>
      <w:r w:rsidRPr="000A72E5">
        <w:t xml:space="preserve"> </w:t>
      </w:r>
      <w:r>
        <w:t xml:space="preserve">held </w:t>
      </w:r>
      <w:r w:rsidRPr="00903D93">
        <w:t>£</w:t>
      </w:r>
      <w:r>
        <w:t>199.4</w:t>
      </w:r>
      <w:r w:rsidRPr="00962AA7">
        <w:t xml:space="preserve"> million </w:t>
      </w:r>
      <w:r>
        <w:t xml:space="preserve">of fixed rate </w:t>
      </w:r>
      <w:r w:rsidRPr="00962AA7">
        <w:t xml:space="preserve">Public Works Loan Board (PWLB) </w:t>
      </w:r>
      <w:r>
        <w:t xml:space="preserve">debt </w:t>
      </w:r>
      <w:r w:rsidRPr="00962AA7">
        <w:t>as at 31 March 201</w:t>
      </w:r>
      <w:r>
        <w:t>5</w:t>
      </w:r>
      <w:r w:rsidRPr="00962AA7">
        <w:t>.</w:t>
      </w:r>
      <w:r w:rsidRPr="0002489B">
        <w:t xml:space="preserve">  </w:t>
      </w:r>
      <w:r w:rsidRPr="00895AAC">
        <w:t>The loans</w:t>
      </w:r>
      <w:r w:rsidRPr="000A72E5">
        <w:t xml:space="preserve"> include £198.5 million borrowed </w:t>
      </w:r>
      <w:r w:rsidRPr="00903D93">
        <w:t>in March 2012 to fund the buy</w:t>
      </w:r>
      <w:r w:rsidR="002E06AF">
        <w:t>-</w:t>
      </w:r>
      <w:r w:rsidRPr="00903D93">
        <w:t xml:space="preserve">out of the </w:t>
      </w:r>
      <w:r w:rsidRPr="00962AA7">
        <w:t>Housing Revenue Account (HRA).</w:t>
      </w:r>
      <w:r w:rsidRPr="0002489B">
        <w:t xml:space="preserve"> All of th</w:t>
      </w:r>
      <w:r>
        <w:t xml:space="preserve">e </w:t>
      </w:r>
      <w:r w:rsidRPr="0002489B">
        <w:t xml:space="preserve">debt relates to Housing and the maturity profile ranges from 9 </w:t>
      </w:r>
      <w:r>
        <w:t>to</w:t>
      </w:r>
      <w:r w:rsidRPr="0002489B">
        <w:t xml:space="preserve"> 45 years.  Interest paid on th</w:t>
      </w:r>
      <w:r>
        <w:t>e</w:t>
      </w:r>
      <w:r w:rsidRPr="0002489B">
        <w:t xml:space="preserve"> debt </w:t>
      </w:r>
      <w:r>
        <w:t>in</w:t>
      </w:r>
      <w:r w:rsidRPr="0002489B">
        <w:t xml:space="preserve"> 201</w:t>
      </w:r>
      <w:r>
        <w:t>4</w:t>
      </w:r>
      <w:r w:rsidRPr="0002489B">
        <w:t>/201</w:t>
      </w:r>
      <w:r>
        <w:t>5</w:t>
      </w:r>
      <w:r w:rsidRPr="0002489B">
        <w:t xml:space="preserve"> was £</w:t>
      </w:r>
      <w:r>
        <w:t>6.71 million</w:t>
      </w:r>
    </w:p>
    <w:p w:rsidR="00385544" w:rsidRDefault="00385544" w:rsidP="004E160A">
      <w:pPr>
        <w:ind w:left="360"/>
      </w:pPr>
    </w:p>
    <w:p w:rsidR="00385544" w:rsidRPr="00E96397" w:rsidRDefault="00385544" w:rsidP="006959F9">
      <w:pPr>
        <w:rPr>
          <w:b/>
        </w:rPr>
      </w:pPr>
      <w:r w:rsidRPr="00E96397">
        <w:rPr>
          <w:b/>
        </w:rPr>
        <w:t>Background</w:t>
      </w:r>
    </w:p>
    <w:p w:rsidR="00385544" w:rsidRPr="003C7A90" w:rsidRDefault="00385544" w:rsidP="004E160A">
      <w:pPr>
        <w:ind w:left="360"/>
      </w:pPr>
    </w:p>
    <w:p w:rsidR="00983FAC" w:rsidRPr="002D39E2" w:rsidRDefault="00983FAC" w:rsidP="00BC1A13">
      <w:pPr>
        <w:numPr>
          <w:ilvl w:val="0"/>
          <w:numId w:val="3"/>
        </w:numPr>
        <w:ind w:hanging="502"/>
      </w:pPr>
      <w:r w:rsidRPr="002D39E2">
        <w:t xml:space="preserve">The primary principle governing the Council’s investment criteria is </w:t>
      </w:r>
      <w:r w:rsidRPr="00581320">
        <w:t>Security</w:t>
      </w:r>
      <w:r w:rsidRPr="006E4D0A">
        <w:t xml:space="preserve"> of investment, with </w:t>
      </w:r>
      <w:r w:rsidRPr="00581320">
        <w:t>Liquidity</w:t>
      </w:r>
      <w:r w:rsidRPr="006E4D0A">
        <w:t xml:space="preserve"> and</w:t>
      </w:r>
      <w:r w:rsidRPr="00581320">
        <w:t xml:space="preserve"> Yield</w:t>
      </w:r>
      <w:r w:rsidRPr="006E4D0A">
        <w:t xml:space="preserve"> being secondary</w:t>
      </w:r>
      <w:r w:rsidRPr="002D39E2">
        <w:t xml:space="preserve"> considerations.  </w:t>
      </w:r>
    </w:p>
    <w:p w:rsidR="00983FAC" w:rsidRDefault="00983FAC" w:rsidP="00BC1A13">
      <w:pPr>
        <w:ind w:left="360" w:hanging="502"/>
      </w:pPr>
    </w:p>
    <w:p w:rsidR="00E96397" w:rsidRPr="003C7A90" w:rsidRDefault="00E96397" w:rsidP="00BC1A13">
      <w:pPr>
        <w:numPr>
          <w:ilvl w:val="0"/>
          <w:numId w:val="3"/>
        </w:numPr>
        <w:ind w:hanging="502"/>
      </w:pPr>
      <w:r w:rsidRPr="003C7A90">
        <w:t>The Council has a statutory duty to set, monitor and report on its prudential indicators in accordance with the Prudential Code, which aims to ensure that the capital investment plans of authorities are affordable, prudent and sustainable.</w:t>
      </w:r>
    </w:p>
    <w:p w:rsidR="00E96397" w:rsidRPr="003C7A90" w:rsidRDefault="00E96397" w:rsidP="00BC1A13">
      <w:pPr>
        <w:ind w:left="360" w:hanging="502"/>
      </w:pPr>
    </w:p>
    <w:p w:rsidR="00AE5EB7" w:rsidRPr="002D39E2" w:rsidRDefault="002317E8" w:rsidP="00BC1A13">
      <w:pPr>
        <w:numPr>
          <w:ilvl w:val="0"/>
          <w:numId w:val="3"/>
        </w:numPr>
        <w:ind w:hanging="502"/>
      </w:pPr>
      <w:r>
        <w:t>When considering whether to borrow</w:t>
      </w:r>
      <w:r w:rsidR="002E06AF">
        <w:t>,</w:t>
      </w:r>
      <w:r>
        <w:t xml:space="preserve"> t</w:t>
      </w:r>
      <w:r w:rsidR="007B588D" w:rsidRPr="002D39E2">
        <w:t xml:space="preserve">he Council’s </w:t>
      </w:r>
      <w:r w:rsidR="00DA234D">
        <w:t>D</w:t>
      </w:r>
      <w:r w:rsidR="007B588D" w:rsidRPr="002D39E2">
        <w:t xml:space="preserve">ebt </w:t>
      </w:r>
      <w:r w:rsidR="00DA234D">
        <w:t>S</w:t>
      </w:r>
      <w:r w:rsidR="007B588D" w:rsidRPr="002D39E2">
        <w:t xml:space="preserve">trategy </w:t>
      </w:r>
      <w:r w:rsidR="00DA234D">
        <w:t>requires</w:t>
      </w:r>
      <w:r w:rsidR="00AE5EB7" w:rsidRPr="002D39E2">
        <w:t xml:space="preserve"> a number of</w:t>
      </w:r>
      <w:r w:rsidR="007B588D" w:rsidRPr="002D39E2">
        <w:t xml:space="preserve"> </w:t>
      </w:r>
      <w:r w:rsidR="00CD2701" w:rsidRPr="002D39E2">
        <w:t xml:space="preserve">factors </w:t>
      </w:r>
      <w:r w:rsidR="00DA234D">
        <w:t>to be considered</w:t>
      </w:r>
      <w:r w:rsidR="00AE00B0">
        <w:t>.</w:t>
      </w:r>
      <w:r w:rsidR="008C4858">
        <w:t xml:space="preserve"> </w:t>
      </w:r>
      <w:r w:rsidR="00AE00B0">
        <w:t>T</w:t>
      </w:r>
      <w:r w:rsidR="008C4858">
        <w:t xml:space="preserve">hese </w:t>
      </w:r>
      <w:r w:rsidR="00AE5EB7" w:rsidRPr="002D39E2">
        <w:t>includ</w:t>
      </w:r>
      <w:r w:rsidR="008C4858">
        <w:t>e</w:t>
      </w:r>
      <w:r w:rsidR="00AE5EB7" w:rsidRPr="002D39E2">
        <w:t>:</w:t>
      </w:r>
    </w:p>
    <w:p w:rsidR="007B131D" w:rsidRPr="002D39E2" w:rsidRDefault="007B131D" w:rsidP="00BC1A13">
      <w:pPr>
        <w:numPr>
          <w:ilvl w:val="0"/>
          <w:numId w:val="46"/>
        </w:numPr>
      </w:pPr>
      <w:r w:rsidRPr="002D39E2">
        <w:t>prevailing interest rates</w:t>
      </w:r>
    </w:p>
    <w:p w:rsidR="007B131D" w:rsidRPr="002D39E2" w:rsidRDefault="007B131D" w:rsidP="00BC1A13">
      <w:pPr>
        <w:numPr>
          <w:ilvl w:val="0"/>
          <w:numId w:val="46"/>
        </w:numPr>
      </w:pPr>
      <w:r w:rsidRPr="002D39E2">
        <w:t xml:space="preserve">the profile of the Council’s </w:t>
      </w:r>
      <w:r w:rsidR="008C4858">
        <w:t xml:space="preserve">debt </w:t>
      </w:r>
      <w:r w:rsidRPr="002D39E2">
        <w:t>portfolio</w:t>
      </w:r>
    </w:p>
    <w:p w:rsidR="007B131D" w:rsidRPr="002D39E2" w:rsidRDefault="007B131D" w:rsidP="00BC1A13">
      <w:pPr>
        <w:numPr>
          <w:ilvl w:val="0"/>
          <w:numId w:val="46"/>
        </w:numPr>
      </w:pPr>
      <w:r w:rsidRPr="002D39E2">
        <w:t>the type of asset being financed</w:t>
      </w:r>
    </w:p>
    <w:p w:rsidR="00CD255E" w:rsidRPr="003C7A90" w:rsidRDefault="002E06AF" w:rsidP="00BC1A13">
      <w:pPr>
        <w:numPr>
          <w:ilvl w:val="0"/>
          <w:numId w:val="46"/>
        </w:numPr>
      </w:pPr>
      <w:proofErr w:type="gramStart"/>
      <w:r>
        <w:t>t</w:t>
      </w:r>
      <w:r w:rsidR="00CD255E" w:rsidRPr="003C7A90">
        <w:t>he</w:t>
      </w:r>
      <w:proofErr w:type="gramEnd"/>
      <w:r w:rsidR="00CD255E" w:rsidRPr="003C7A90">
        <w:t xml:space="preserve"> </w:t>
      </w:r>
      <w:r w:rsidR="00026A53" w:rsidRPr="003C7A90">
        <w:t>a</w:t>
      </w:r>
      <w:r w:rsidR="00860146" w:rsidRPr="003C7A90">
        <w:t>vaila</w:t>
      </w:r>
      <w:r w:rsidR="00026A53" w:rsidRPr="003C7A90">
        <w:t xml:space="preserve">bility </w:t>
      </w:r>
      <w:r w:rsidR="00860146" w:rsidRPr="003C7A90">
        <w:t xml:space="preserve">of </w:t>
      </w:r>
      <w:r w:rsidR="00CD255E" w:rsidRPr="003C7A90">
        <w:t xml:space="preserve">cash balances to finance </w:t>
      </w:r>
      <w:r w:rsidR="007D6016" w:rsidRPr="003C7A90">
        <w:t>capital</w:t>
      </w:r>
      <w:r w:rsidR="00CD255E" w:rsidRPr="003C7A90">
        <w:t xml:space="preserve"> expenditure</w:t>
      </w:r>
      <w:r w:rsidR="00B85B15" w:rsidRPr="003C7A90">
        <w:t>.</w:t>
      </w:r>
      <w:r w:rsidR="00CD255E" w:rsidRPr="003C7A90">
        <w:t xml:space="preserve"> </w:t>
      </w:r>
    </w:p>
    <w:p w:rsidR="007B588D" w:rsidRPr="003C7A90" w:rsidRDefault="007B588D" w:rsidP="00BC1A13">
      <w:pPr>
        <w:ind w:left="360" w:hanging="502"/>
        <w:rPr>
          <w:i/>
          <w:highlight w:val="yellow"/>
        </w:rPr>
      </w:pPr>
    </w:p>
    <w:p w:rsidR="007B588D" w:rsidRPr="003C7A90" w:rsidRDefault="007B588D" w:rsidP="00BC1A13">
      <w:pPr>
        <w:numPr>
          <w:ilvl w:val="0"/>
          <w:numId w:val="3"/>
        </w:numPr>
        <w:ind w:hanging="502"/>
      </w:pPr>
      <w:r w:rsidRPr="003C7A90">
        <w:t xml:space="preserve">The Council </w:t>
      </w:r>
      <w:r w:rsidR="00E8263A" w:rsidRPr="003C7A90">
        <w:t xml:space="preserve">fully complied with </w:t>
      </w:r>
      <w:r w:rsidRPr="003C7A90">
        <w:t xml:space="preserve">its </w:t>
      </w:r>
      <w:r w:rsidR="00E8263A" w:rsidRPr="003C7A90">
        <w:t>T</w:t>
      </w:r>
      <w:r w:rsidRPr="003C7A90">
        <w:t xml:space="preserve">reasury </w:t>
      </w:r>
      <w:r w:rsidR="00E8263A" w:rsidRPr="003C7A90">
        <w:t>Management S</w:t>
      </w:r>
      <w:r w:rsidRPr="003C7A90">
        <w:t xml:space="preserve">trategy </w:t>
      </w:r>
      <w:r w:rsidR="00E8263A" w:rsidRPr="003C7A90">
        <w:t xml:space="preserve">in relation to </w:t>
      </w:r>
      <w:r w:rsidR="00EE43AF" w:rsidRPr="003C7A90">
        <w:t xml:space="preserve">both debt and </w:t>
      </w:r>
      <w:r w:rsidRPr="003C7A90">
        <w:t>inv</w:t>
      </w:r>
      <w:r w:rsidR="0091702A" w:rsidRPr="003C7A90">
        <w:t xml:space="preserve">estment management </w:t>
      </w:r>
      <w:r w:rsidR="00E8263A" w:rsidRPr="003C7A90">
        <w:t>in</w:t>
      </w:r>
      <w:r w:rsidR="0091702A" w:rsidRPr="003C7A90">
        <w:t xml:space="preserve"> 20</w:t>
      </w:r>
      <w:r w:rsidR="005B5A94" w:rsidRPr="003C7A90">
        <w:t>1</w:t>
      </w:r>
      <w:r w:rsidR="0098278E" w:rsidRPr="003C7A90">
        <w:t>4</w:t>
      </w:r>
      <w:r w:rsidR="0091702A" w:rsidRPr="003C7A90">
        <w:t>/201</w:t>
      </w:r>
      <w:r w:rsidR="0098278E" w:rsidRPr="003C7A90">
        <w:t>5</w:t>
      </w:r>
      <w:r w:rsidRPr="003C7A90">
        <w:t>.</w:t>
      </w:r>
      <w:r w:rsidR="00A3084A" w:rsidRPr="003C7A90">
        <w:t xml:space="preserve"> </w:t>
      </w:r>
    </w:p>
    <w:p w:rsidR="00BC1164" w:rsidRPr="003C7A90" w:rsidRDefault="00BC1164" w:rsidP="00BC1A13">
      <w:pPr>
        <w:ind w:hanging="502"/>
      </w:pPr>
    </w:p>
    <w:p w:rsidR="007B588D" w:rsidRDefault="007B588D" w:rsidP="00BC1A13">
      <w:pPr>
        <w:numPr>
          <w:ilvl w:val="0"/>
          <w:numId w:val="3"/>
        </w:numPr>
        <w:ind w:hanging="502"/>
      </w:pPr>
      <w:r w:rsidRPr="002D39E2">
        <w:t xml:space="preserve">The prudential indicators detailed in the body of this report </w:t>
      </w:r>
      <w:r w:rsidR="009E57B3">
        <w:t xml:space="preserve">relate to </w:t>
      </w:r>
      <w:r w:rsidR="005B5A94" w:rsidRPr="002D39E2">
        <w:t>201</w:t>
      </w:r>
      <w:r w:rsidR="0098278E">
        <w:t>4</w:t>
      </w:r>
      <w:r w:rsidR="0091702A" w:rsidRPr="002D39E2">
        <w:t>/201</w:t>
      </w:r>
      <w:r w:rsidR="0098278E">
        <w:t>5</w:t>
      </w:r>
      <w:r w:rsidRPr="002D39E2">
        <w:t xml:space="preserve">, and </w:t>
      </w:r>
      <w:r w:rsidR="004816D7" w:rsidRPr="002D39E2">
        <w:t>c</w:t>
      </w:r>
      <w:r w:rsidR="00E8263A" w:rsidRPr="002D39E2">
        <w:t>ompare</w:t>
      </w:r>
      <w:r w:rsidRPr="002D39E2">
        <w:t xml:space="preserve"> the Council’s </w:t>
      </w:r>
      <w:r w:rsidR="00E8263A" w:rsidRPr="002D39E2">
        <w:t>outturn position against the target set.</w:t>
      </w:r>
    </w:p>
    <w:p w:rsidR="004362AA" w:rsidRDefault="004362AA" w:rsidP="004362AA">
      <w:pPr>
        <w:pStyle w:val="ListParagraph"/>
      </w:pPr>
    </w:p>
    <w:p w:rsidR="004362AA" w:rsidRPr="002D39E2" w:rsidRDefault="00084147" w:rsidP="00BC1A13">
      <w:pPr>
        <w:numPr>
          <w:ilvl w:val="0"/>
          <w:numId w:val="3"/>
        </w:numPr>
        <w:ind w:hanging="502"/>
      </w:pPr>
      <w:r>
        <w:t>At its meeting on the 30 July</w:t>
      </w:r>
      <w:r w:rsidR="008C5DA7">
        <w:t xml:space="preserve"> 2015</w:t>
      </w:r>
      <w:r w:rsidR="002E06AF">
        <w:t>,</w:t>
      </w:r>
      <w:r>
        <w:t xml:space="preserve"> the City Executive Board</w:t>
      </w:r>
      <w:r w:rsidR="004337D2">
        <w:t xml:space="preserve"> determined to </w:t>
      </w:r>
      <w:r w:rsidR="004362AA">
        <w:t xml:space="preserve">enter into an investment agreement to provide properties as part of the </w:t>
      </w:r>
      <w:r w:rsidR="004362AA">
        <w:lastRenderedPageBreak/>
        <w:t xml:space="preserve">Council’s Homelessness function.  </w:t>
      </w:r>
      <w:r w:rsidR="004337D2">
        <w:t>Consequently</w:t>
      </w:r>
      <w:r w:rsidR="004362AA">
        <w:t>, some changes are necessary to the</w:t>
      </w:r>
      <w:r w:rsidR="004337D2">
        <w:t xml:space="preserve"> Council’s</w:t>
      </w:r>
      <w:r w:rsidR="004362AA">
        <w:t xml:space="preserve"> non-specified investments list and the Minimum Revenue Provision (MRP) </w:t>
      </w:r>
      <w:r w:rsidR="004337D2">
        <w:t>P</w:t>
      </w:r>
      <w:r w:rsidR="004362AA">
        <w:t>olicy in the Treasury Strategy for 2015/16</w:t>
      </w:r>
      <w:r w:rsidR="00D81FD8">
        <w:t xml:space="preserve"> as per paragraph</w:t>
      </w:r>
      <w:r w:rsidR="00151A6A">
        <w:t>s</w:t>
      </w:r>
      <w:r w:rsidR="00D81FD8">
        <w:t xml:space="preserve"> 3</w:t>
      </w:r>
      <w:r w:rsidR="00151A6A">
        <w:t>8</w:t>
      </w:r>
      <w:r w:rsidR="00581320">
        <w:t xml:space="preserve"> and 3</w:t>
      </w:r>
      <w:r w:rsidR="00151A6A">
        <w:t>9</w:t>
      </w:r>
      <w:r w:rsidR="004362AA">
        <w:t>.</w:t>
      </w:r>
    </w:p>
    <w:p w:rsidR="003921B2" w:rsidRPr="003C7A90" w:rsidRDefault="003921B2" w:rsidP="00BC1A13">
      <w:pPr>
        <w:tabs>
          <w:tab w:val="num" w:pos="502"/>
        </w:tabs>
        <w:ind w:hanging="502"/>
      </w:pPr>
    </w:p>
    <w:p w:rsidR="007B588D" w:rsidRDefault="00577D16" w:rsidP="00BC1A13">
      <w:pPr>
        <w:tabs>
          <w:tab w:val="num" w:pos="502"/>
        </w:tabs>
        <w:ind w:hanging="502"/>
        <w:rPr>
          <w:b/>
        </w:rPr>
      </w:pPr>
      <w:r>
        <w:rPr>
          <w:b/>
        </w:rPr>
        <w:tab/>
      </w:r>
      <w:r w:rsidR="002F1DEC" w:rsidRPr="00F94D74">
        <w:rPr>
          <w:b/>
        </w:rPr>
        <w:t>Financi</w:t>
      </w:r>
      <w:r w:rsidR="00EB72A3" w:rsidRPr="00F94D74">
        <w:rPr>
          <w:b/>
        </w:rPr>
        <w:t>ng the Capital Programme 201</w:t>
      </w:r>
      <w:r w:rsidR="00B56655" w:rsidRPr="00F94D74">
        <w:rPr>
          <w:b/>
        </w:rPr>
        <w:t>4</w:t>
      </w:r>
      <w:r w:rsidR="002F1DEC" w:rsidRPr="00F94D74">
        <w:rPr>
          <w:b/>
        </w:rPr>
        <w:t>/1</w:t>
      </w:r>
      <w:r w:rsidR="00B56655" w:rsidRPr="00F94D74">
        <w:rPr>
          <w:b/>
        </w:rPr>
        <w:t>5</w:t>
      </w:r>
    </w:p>
    <w:p w:rsidR="00577D16" w:rsidRPr="00F94D74" w:rsidRDefault="00577D16" w:rsidP="00BC1A13">
      <w:pPr>
        <w:tabs>
          <w:tab w:val="num" w:pos="502"/>
        </w:tabs>
        <w:ind w:hanging="502"/>
        <w:rPr>
          <w:b/>
          <w:i/>
        </w:rPr>
      </w:pPr>
    </w:p>
    <w:p w:rsidR="007B588D" w:rsidRPr="00F94D74" w:rsidRDefault="00661E2D" w:rsidP="00BC1A13">
      <w:pPr>
        <w:numPr>
          <w:ilvl w:val="0"/>
          <w:numId w:val="3"/>
        </w:numPr>
        <w:ind w:hanging="502"/>
      </w:pPr>
      <w:r w:rsidRPr="00F94D74">
        <w:t>T</w:t>
      </w:r>
      <w:r w:rsidR="007B588D" w:rsidRPr="00F94D74">
        <w:t>able</w:t>
      </w:r>
      <w:r w:rsidRPr="00F94D74">
        <w:t xml:space="preserve"> 1</w:t>
      </w:r>
      <w:r w:rsidR="007B588D" w:rsidRPr="00F94D74">
        <w:t xml:space="preserve"> below show</w:t>
      </w:r>
      <w:r w:rsidR="00BC1164" w:rsidRPr="00F94D74">
        <w:t>s</w:t>
      </w:r>
      <w:r w:rsidR="007B588D" w:rsidRPr="00F94D74">
        <w:t xml:space="preserve"> </w:t>
      </w:r>
      <w:r w:rsidRPr="00F94D74">
        <w:t xml:space="preserve">actual </w:t>
      </w:r>
      <w:r w:rsidR="002C0A83" w:rsidRPr="00F94D74">
        <w:t xml:space="preserve">capital expenditure and financing </w:t>
      </w:r>
      <w:r w:rsidRPr="00F94D74">
        <w:t xml:space="preserve">compared to </w:t>
      </w:r>
      <w:r w:rsidR="00BE0522" w:rsidRPr="00F94D74">
        <w:t>the</w:t>
      </w:r>
      <w:r w:rsidRPr="00F94D74">
        <w:t xml:space="preserve"> </w:t>
      </w:r>
      <w:r w:rsidR="003F5F1F" w:rsidRPr="00F94D74">
        <w:t>revised</w:t>
      </w:r>
      <w:r w:rsidR="002C0A83" w:rsidRPr="00F94D74">
        <w:t xml:space="preserve"> budget</w:t>
      </w:r>
      <w:r w:rsidR="008C2051" w:rsidRPr="00F94D74">
        <w:t>.</w:t>
      </w:r>
    </w:p>
    <w:p w:rsidR="00F42EA6" w:rsidRPr="003C7A90" w:rsidRDefault="00F42EA6" w:rsidP="0073174C">
      <w:pPr>
        <w:ind w:left="360"/>
      </w:pPr>
    </w:p>
    <w:p w:rsidR="0073174C" w:rsidRPr="003C7A90" w:rsidRDefault="0073174C" w:rsidP="0073174C">
      <w:pPr>
        <w:ind w:left="720"/>
        <w:rPr>
          <w:b/>
        </w:rPr>
      </w:pPr>
      <w:r w:rsidRPr="003C7A90">
        <w:rPr>
          <w:b/>
        </w:rPr>
        <w:t>Table 1</w:t>
      </w:r>
    </w:p>
    <w:tbl>
      <w:tblPr>
        <w:tblW w:w="6930" w:type="dxa"/>
        <w:tblInd w:w="720" w:type="dxa"/>
        <w:tblLook w:val="04A0" w:firstRow="1" w:lastRow="0" w:firstColumn="1" w:lastColumn="0" w:noHBand="0" w:noVBand="1"/>
      </w:tblPr>
      <w:tblGrid>
        <w:gridCol w:w="3220"/>
        <w:gridCol w:w="1276"/>
        <w:gridCol w:w="1276"/>
        <w:gridCol w:w="1158"/>
      </w:tblGrid>
      <w:tr w:rsidR="00BE3B45" w:rsidRPr="003C7A90" w:rsidTr="00C91B86">
        <w:trPr>
          <w:trHeight w:val="3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BE3B45" w:rsidRPr="003C7A90" w:rsidRDefault="00BE3B45" w:rsidP="00C57244">
            <w:pPr>
              <w:rPr>
                <w:rFonts w:cs="Arial"/>
                <w:b/>
                <w:bCs/>
                <w:sz w:val="22"/>
                <w:szCs w:val="22"/>
                <w:lang w:eastAsia="en-GB"/>
              </w:rPr>
            </w:pPr>
            <w:r w:rsidRPr="003C7A90">
              <w:rPr>
                <w:rFonts w:cs="Arial"/>
                <w:b/>
                <w:bCs/>
                <w:sz w:val="22"/>
                <w:szCs w:val="22"/>
                <w:lang w:eastAsia="en-GB"/>
              </w:rPr>
              <w:t>Capital Expenditure</w:t>
            </w:r>
          </w:p>
        </w:tc>
        <w:tc>
          <w:tcPr>
            <w:tcW w:w="1276" w:type="dxa"/>
            <w:tcBorders>
              <w:top w:val="single" w:sz="4" w:space="0" w:color="auto"/>
              <w:left w:val="single" w:sz="4" w:space="0" w:color="auto"/>
              <w:bottom w:val="nil"/>
              <w:right w:val="single" w:sz="4" w:space="0" w:color="auto"/>
            </w:tcBorders>
            <w:shd w:val="clear" w:color="000000" w:fill="D9D9D9"/>
            <w:noWrap/>
            <w:vAlign w:val="bottom"/>
            <w:hideMark/>
          </w:tcPr>
          <w:p w:rsidR="00BE3B45" w:rsidRPr="003C7A90" w:rsidRDefault="00BE3B45" w:rsidP="008F18BB">
            <w:pPr>
              <w:jc w:val="center"/>
              <w:rPr>
                <w:rFonts w:cs="Arial"/>
                <w:b/>
                <w:bCs/>
                <w:sz w:val="22"/>
                <w:szCs w:val="22"/>
                <w:lang w:eastAsia="en-GB"/>
              </w:rPr>
            </w:pPr>
            <w:r w:rsidRPr="003C7A90">
              <w:rPr>
                <w:rFonts w:cs="Arial"/>
                <w:b/>
                <w:bCs/>
                <w:sz w:val="22"/>
                <w:szCs w:val="22"/>
                <w:lang w:eastAsia="en-GB"/>
              </w:rPr>
              <w:t>2014/15</w:t>
            </w:r>
          </w:p>
        </w:tc>
        <w:tc>
          <w:tcPr>
            <w:tcW w:w="1276" w:type="dxa"/>
            <w:tcBorders>
              <w:top w:val="single" w:sz="4" w:space="0" w:color="auto"/>
              <w:left w:val="nil"/>
              <w:bottom w:val="nil"/>
              <w:right w:val="single" w:sz="4" w:space="0" w:color="auto"/>
            </w:tcBorders>
            <w:shd w:val="clear" w:color="000000" w:fill="D9D9D9"/>
            <w:noWrap/>
            <w:vAlign w:val="bottom"/>
            <w:hideMark/>
          </w:tcPr>
          <w:p w:rsidR="00BE3B45" w:rsidRPr="003C7A90" w:rsidRDefault="00BE3B45" w:rsidP="008F18BB">
            <w:pPr>
              <w:jc w:val="center"/>
              <w:rPr>
                <w:rFonts w:cs="Arial"/>
                <w:b/>
                <w:bCs/>
                <w:sz w:val="22"/>
                <w:szCs w:val="22"/>
                <w:lang w:eastAsia="en-GB"/>
              </w:rPr>
            </w:pPr>
            <w:r w:rsidRPr="003C7A90">
              <w:rPr>
                <w:rFonts w:cs="Arial"/>
                <w:b/>
                <w:bCs/>
                <w:sz w:val="22"/>
                <w:szCs w:val="22"/>
                <w:lang w:eastAsia="en-GB"/>
              </w:rPr>
              <w:t>2014/15</w:t>
            </w:r>
          </w:p>
        </w:tc>
        <w:tc>
          <w:tcPr>
            <w:tcW w:w="1158" w:type="dxa"/>
            <w:tcBorders>
              <w:top w:val="single" w:sz="4" w:space="0" w:color="auto"/>
              <w:left w:val="nil"/>
              <w:bottom w:val="nil"/>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Variation</w:t>
            </w:r>
          </w:p>
        </w:tc>
      </w:tr>
      <w:tr w:rsidR="00BE3B45" w:rsidRPr="003C7A90" w:rsidTr="00C91B86">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BE3B45" w:rsidRPr="003C7A90" w:rsidRDefault="00BE3B45" w:rsidP="00C57244">
            <w:pPr>
              <w:rPr>
                <w:rFonts w:cs="Arial"/>
                <w:b/>
                <w:bCs/>
                <w:sz w:val="22"/>
                <w:szCs w:val="22"/>
                <w:lang w:eastAsia="en-GB"/>
              </w:rPr>
            </w:pPr>
            <w:r w:rsidRPr="003C7A90">
              <w:rPr>
                <w:rFonts w:cs="Arial"/>
                <w:b/>
                <w:bCs/>
                <w:sz w:val="22"/>
                <w:szCs w:val="22"/>
                <w:lang w:eastAsia="en-GB"/>
              </w:rPr>
              <w:t> </w:t>
            </w:r>
          </w:p>
        </w:tc>
        <w:tc>
          <w:tcPr>
            <w:tcW w:w="1276" w:type="dxa"/>
            <w:tcBorders>
              <w:top w:val="nil"/>
              <w:left w:val="single" w:sz="4" w:space="0" w:color="auto"/>
              <w:bottom w:val="nil"/>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Approved Budget</w:t>
            </w:r>
          </w:p>
        </w:tc>
        <w:tc>
          <w:tcPr>
            <w:tcW w:w="1276" w:type="dxa"/>
            <w:tcBorders>
              <w:top w:val="nil"/>
              <w:left w:val="nil"/>
              <w:bottom w:val="nil"/>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Actual</w:t>
            </w:r>
          </w:p>
        </w:tc>
        <w:tc>
          <w:tcPr>
            <w:tcW w:w="1158" w:type="dxa"/>
            <w:tcBorders>
              <w:top w:val="nil"/>
              <w:left w:val="nil"/>
              <w:bottom w:val="nil"/>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 </w:t>
            </w:r>
          </w:p>
        </w:tc>
      </w:tr>
      <w:tr w:rsidR="00BE3B45" w:rsidRPr="003C7A90" w:rsidTr="00C91B86">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BE3B45" w:rsidRPr="003C7A90" w:rsidRDefault="00BE3B45" w:rsidP="00C57244">
            <w:pPr>
              <w:rPr>
                <w:rFonts w:cs="Arial"/>
                <w:b/>
                <w:bCs/>
                <w:sz w:val="22"/>
                <w:szCs w:val="22"/>
                <w:lang w:eastAsia="en-GB"/>
              </w:rPr>
            </w:pPr>
            <w:r w:rsidRPr="003C7A90">
              <w:rPr>
                <w:rFonts w:cs="Arial"/>
                <w:b/>
                <w:bCs/>
                <w:sz w:val="22"/>
                <w:szCs w:val="22"/>
                <w:lang w:eastAsia="en-GB"/>
              </w:rPr>
              <w:t> </w:t>
            </w: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£'000</w:t>
            </w:r>
          </w:p>
        </w:tc>
        <w:tc>
          <w:tcPr>
            <w:tcW w:w="1158" w:type="dxa"/>
            <w:tcBorders>
              <w:top w:val="nil"/>
              <w:left w:val="nil"/>
              <w:bottom w:val="single" w:sz="4" w:space="0" w:color="auto"/>
              <w:right w:val="single" w:sz="4" w:space="0" w:color="auto"/>
            </w:tcBorders>
            <w:shd w:val="clear" w:color="000000" w:fill="D9D9D9"/>
            <w:noWrap/>
            <w:vAlign w:val="bottom"/>
            <w:hideMark/>
          </w:tcPr>
          <w:p w:rsidR="00BE3B45" w:rsidRPr="003C7A90" w:rsidRDefault="00BE3B45" w:rsidP="00C57244">
            <w:pPr>
              <w:jc w:val="center"/>
              <w:rPr>
                <w:rFonts w:cs="Arial"/>
                <w:b/>
                <w:bCs/>
                <w:sz w:val="22"/>
                <w:szCs w:val="22"/>
                <w:lang w:eastAsia="en-GB"/>
              </w:rPr>
            </w:pPr>
            <w:r w:rsidRPr="003C7A90">
              <w:rPr>
                <w:rFonts w:cs="Arial"/>
                <w:b/>
                <w:bCs/>
                <w:sz w:val="22"/>
                <w:szCs w:val="22"/>
                <w:lang w:eastAsia="en-GB"/>
              </w:rPr>
              <w:t>£'000</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sz w:val="22"/>
                <w:szCs w:val="22"/>
                <w:lang w:eastAsia="en-GB"/>
              </w:rPr>
            </w:pPr>
            <w:r w:rsidRPr="003C7A90">
              <w:rPr>
                <w:rFonts w:cs="Arial"/>
                <w:sz w:val="22"/>
                <w:szCs w:val="22"/>
                <w:lang w:eastAsia="en-GB"/>
              </w:rPr>
              <w:t>Non-HRA Capital Expenditure</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BE3B45" w:rsidP="00C3707B">
            <w:pPr>
              <w:jc w:val="right"/>
              <w:rPr>
                <w:rFonts w:cs="Arial"/>
                <w:sz w:val="22"/>
                <w:szCs w:val="22"/>
                <w:lang w:eastAsia="en-GB"/>
              </w:rPr>
            </w:pPr>
            <w:r w:rsidRPr="003C7A90">
              <w:rPr>
                <w:rFonts w:cs="Arial"/>
                <w:sz w:val="22"/>
                <w:szCs w:val="22"/>
                <w:lang w:eastAsia="en-GB"/>
              </w:rPr>
              <w:t>3</w:t>
            </w:r>
            <w:r w:rsidR="000501A8">
              <w:rPr>
                <w:rFonts w:cs="Arial"/>
                <w:sz w:val="22"/>
                <w:szCs w:val="22"/>
                <w:lang w:eastAsia="en-GB"/>
              </w:rPr>
              <w:t>2</w:t>
            </w:r>
            <w:r w:rsidRPr="003C7A90">
              <w:rPr>
                <w:rFonts w:cs="Arial"/>
                <w:sz w:val="22"/>
                <w:szCs w:val="22"/>
                <w:lang w:eastAsia="en-GB"/>
              </w:rPr>
              <w:t>,</w:t>
            </w:r>
            <w:r w:rsidR="00C3707B">
              <w:rPr>
                <w:rFonts w:cs="Arial"/>
                <w:sz w:val="22"/>
                <w:szCs w:val="22"/>
                <w:lang w:eastAsia="en-GB"/>
              </w:rPr>
              <w:t>271</w:t>
            </w: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2B641E">
            <w:pPr>
              <w:jc w:val="right"/>
              <w:rPr>
                <w:rFonts w:cs="Arial"/>
                <w:sz w:val="22"/>
                <w:szCs w:val="22"/>
                <w:lang w:eastAsia="en-GB"/>
              </w:rPr>
            </w:pPr>
            <w:r w:rsidRPr="003C7A90">
              <w:rPr>
                <w:rFonts w:cs="Arial"/>
                <w:sz w:val="22"/>
                <w:szCs w:val="22"/>
                <w:lang w:eastAsia="en-GB"/>
              </w:rPr>
              <w:t>2</w:t>
            </w:r>
            <w:r w:rsidR="002B641E">
              <w:rPr>
                <w:rFonts w:cs="Arial"/>
                <w:sz w:val="22"/>
                <w:szCs w:val="22"/>
                <w:lang w:eastAsia="en-GB"/>
              </w:rPr>
              <w:t>6,750</w:t>
            </w:r>
          </w:p>
        </w:tc>
        <w:tc>
          <w:tcPr>
            <w:tcW w:w="1158" w:type="dxa"/>
            <w:tcBorders>
              <w:top w:val="nil"/>
              <w:left w:val="nil"/>
              <w:bottom w:val="nil"/>
              <w:right w:val="single" w:sz="4" w:space="0" w:color="auto"/>
            </w:tcBorders>
            <w:shd w:val="clear" w:color="auto" w:fill="auto"/>
            <w:noWrap/>
            <w:vAlign w:val="bottom"/>
          </w:tcPr>
          <w:p w:rsidR="00BE3B45" w:rsidRPr="002B641E" w:rsidRDefault="00BE3B45" w:rsidP="002B641E">
            <w:pPr>
              <w:jc w:val="right"/>
              <w:rPr>
                <w:rFonts w:cs="Arial"/>
                <w:sz w:val="22"/>
                <w:szCs w:val="22"/>
                <w:lang w:eastAsia="en-GB"/>
              </w:rPr>
            </w:pPr>
            <w:r w:rsidRPr="002B641E">
              <w:rPr>
                <w:rFonts w:cs="Arial"/>
                <w:sz w:val="22"/>
                <w:szCs w:val="22"/>
                <w:lang w:eastAsia="en-GB"/>
              </w:rPr>
              <w:t>(</w:t>
            </w:r>
            <w:r w:rsidR="002B641E" w:rsidRPr="002B641E">
              <w:rPr>
                <w:rFonts w:cs="Arial"/>
                <w:sz w:val="22"/>
                <w:szCs w:val="22"/>
                <w:lang w:eastAsia="en-GB"/>
              </w:rPr>
              <w:t>5,521</w:t>
            </w:r>
            <w:r w:rsidRPr="002B641E">
              <w:rPr>
                <w:rFonts w:cs="Arial"/>
                <w:sz w:val="22"/>
                <w:szCs w:val="22"/>
                <w:lang w:eastAsia="en-GB"/>
              </w:rPr>
              <w:t>)</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sz w:val="22"/>
                <w:szCs w:val="22"/>
                <w:lang w:eastAsia="en-GB"/>
              </w:rPr>
            </w:pPr>
            <w:r w:rsidRPr="003C7A90">
              <w:rPr>
                <w:rFonts w:cs="Arial"/>
                <w:sz w:val="22"/>
                <w:szCs w:val="22"/>
                <w:lang w:eastAsia="en-GB"/>
              </w:rPr>
              <w:t>HRA Capital Expenditure</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BE3B45" w:rsidP="00D81FD8">
            <w:pPr>
              <w:jc w:val="right"/>
              <w:rPr>
                <w:rFonts w:cs="Arial"/>
                <w:sz w:val="22"/>
                <w:szCs w:val="22"/>
                <w:lang w:eastAsia="en-GB"/>
              </w:rPr>
            </w:pPr>
            <w:r w:rsidRPr="003C7A90">
              <w:rPr>
                <w:rFonts w:cs="Arial"/>
                <w:sz w:val="22"/>
                <w:szCs w:val="22"/>
                <w:lang w:eastAsia="en-GB"/>
              </w:rPr>
              <w:t>2</w:t>
            </w:r>
            <w:r w:rsidR="00D81FD8">
              <w:rPr>
                <w:rFonts w:cs="Arial"/>
                <w:sz w:val="22"/>
                <w:szCs w:val="22"/>
                <w:lang w:eastAsia="en-GB"/>
              </w:rPr>
              <w:t>7</w:t>
            </w:r>
            <w:r w:rsidRPr="003C7A90">
              <w:rPr>
                <w:rFonts w:cs="Arial"/>
                <w:sz w:val="22"/>
                <w:szCs w:val="22"/>
                <w:lang w:eastAsia="en-GB"/>
              </w:rPr>
              <w:t>,</w:t>
            </w:r>
            <w:r w:rsidR="00C3707B">
              <w:rPr>
                <w:rFonts w:cs="Arial"/>
                <w:sz w:val="22"/>
                <w:szCs w:val="22"/>
                <w:lang w:eastAsia="en-GB"/>
              </w:rPr>
              <w:t>862</w:t>
            </w: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2B641E">
            <w:pPr>
              <w:jc w:val="right"/>
              <w:rPr>
                <w:rFonts w:cs="Arial"/>
                <w:sz w:val="22"/>
                <w:szCs w:val="22"/>
                <w:lang w:eastAsia="en-GB"/>
              </w:rPr>
            </w:pPr>
            <w:r w:rsidRPr="003C7A90">
              <w:rPr>
                <w:rFonts w:cs="Arial"/>
                <w:sz w:val="22"/>
                <w:szCs w:val="22"/>
                <w:lang w:eastAsia="en-GB"/>
              </w:rPr>
              <w:t>21,</w:t>
            </w:r>
            <w:r w:rsidR="002B641E">
              <w:rPr>
                <w:rFonts w:cs="Arial"/>
                <w:sz w:val="22"/>
                <w:szCs w:val="22"/>
                <w:lang w:eastAsia="en-GB"/>
              </w:rPr>
              <w:t>962</w:t>
            </w:r>
          </w:p>
        </w:tc>
        <w:tc>
          <w:tcPr>
            <w:tcW w:w="1158" w:type="dxa"/>
            <w:tcBorders>
              <w:top w:val="nil"/>
              <w:left w:val="nil"/>
              <w:bottom w:val="nil"/>
              <w:right w:val="single" w:sz="4" w:space="0" w:color="auto"/>
            </w:tcBorders>
            <w:shd w:val="clear" w:color="auto" w:fill="auto"/>
            <w:noWrap/>
            <w:vAlign w:val="bottom"/>
          </w:tcPr>
          <w:p w:rsidR="00BE3B45" w:rsidRPr="002B641E" w:rsidRDefault="00BE3B45" w:rsidP="000C1500">
            <w:pPr>
              <w:jc w:val="right"/>
              <w:rPr>
                <w:rFonts w:cs="Arial"/>
                <w:sz w:val="22"/>
                <w:szCs w:val="22"/>
                <w:lang w:eastAsia="en-GB"/>
              </w:rPr>
            </w:pPr>
            <w:r w:rsidRPr="002B641E">
              <w:rPr>
                <w:rFonts w:cs="Arial"/>
                <w:sz w:val="22"/>
                <w:szCs w:val="22"/>
                <w:lang w:eastAsia="en-GB"/>
              </w:rPr>
              <w:t>(</w:t>
            </w:r>
            <w:r w:rsidR="002B641E" w:rsidRPr="002B641E">
              <w:rPr>
                <w:rFonts w:cs="Arial"/>
                <w:sz w:val="22"/>
                <w:szCs w:val="22"/>
                <w:lang w:eastAsia="en-GB"/>
              </w:rPr>
              <w:t>5,</w:t>
            </w:r>
            <w:r w:rsidR="000C1500">
              <w:rPr>
                <w:rFonts w:cs="Arial"/>
                <w:sz w:val="22"/>
                <w:szCs w:val="22"/>
                <w:lang w:eastAsia="en-GB"/>
              </w:rPr>
              <w:t>90</w:t>
            </w:r>
            <w:r w:rsidR="000C1500" w:rsidRPr="002B641E">
              <w:rPr>
                <w:rFonts w:cs="Arial"/>
                <w:sz w:val="22"/>
                <w:szCs w:val="22"/>
                <w:lang w:eastAsia="en-GB"/>
              </w:rPr>
              <w:t>0</w:t>
            </w:r>
            <w:r w:rsidRPr="002B641E">
              <w:rPr>
                <w:rFonts w:cs="Arial"/>
                <w:sz w:val="22"/>
                <w:szCs w:val="22"/>
                <w:lang w:eastAsia="en-GB"/>
              </w:rPr>
              <w:t>)</w:t>
            </w:r>
          </w:p>
        </w:tc>
      </w:tr>
      <w:tr w:rsidR="00BE3B45" w:rsidRPr="003C7A90" w:rsidTr="00C91B86">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b/>
                <w:sz w:val="22"/>
                <w:szCs w:val="22"/>
                <w:lang w:eastAsia="en-GB"/>
              </w:rPr>
            </w:pPr>
            <w:r w:rsidRPr="003C7A90">
              <w:rPr>
                <w:rFonts w:cs="Arial"/>
                <w:b/>
                <w:sz w:val="22"/>
                <w:szCs w:val="22"/>
                <w:lang w:eastAsia="en-GB"/>
              </w:rPr>
              <w:t>Total Capital Expenditure</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C3707B" w:rsidP="00C57244">
            <w:pPr>
              <w:jc w:val="right"/>
              <w:rPr>
                <w:rFonts w:cs="Arial"/>
                <w:b/>
                <w:bCs/>
                <w:sz w:val="22"/>
                <w:szCs w:val="22"/>
                <w:lang w:eastAsia="en-GB"/>
              </w:rPr>
            </w:pPr>
            <w:r>
              <w:rPr>
                <w:rFonts w:cs="Arial"/>
                <w:b/>
                <w:bCs/>
                <w:sz w:val="22"/>
                <w:szCs w:val="22"/>
                <w:lang w:eastAsia="en-GB"/>
              </w:rPr>
              <w:t>60,133</w:t>
            </w: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C57244">
            <w:pPr>
              <w:jc w:val="right"/>
              <w:rPr>
                <w:rFonts w:cs="Arial"/>
                <w:b/>
                <w:bCs/>
                <w:sz w:val="22"/>
                <w:szCs w:val="22"/>
                <w:lang w:eastAsia="en-GB"/>
              </w:rPr>
            </w:pPr>
            <w:r w:rsidRPr="003C7A90">
              <w:rPr>
                <w:rFonts w:cs="Arial"/>
                <w:b/>
                <w:bCs/>
                <w:sz w:val="22"/>
                <w:szCs w:val="22"/>
                <w:lang w:eastAsia="en-GB"/>
              </w:rPr>
              <w:t>48,712</w:t>
            </w:r>
          </w:p>
        </w:tc>
        <w:tc>
          <w:tcPr>
            <w:tcW w:w="1158" w:type="dxa"/>
            <w:tcBorders>
              <w:top w:val="nil"/>
              <w:left w:val="nil"/>
              <w:bottom w:val="nil"/>
              <w:right w:val="single" w:sz="4" w:space="0" w:color="auto"/>
            </w:tcBorders>
            <w:shd w:val="clear" w:color="auto" w:fill="auto"/>
            <w:noWrap/>
            <w:vAlign w:val="bottom"/>
          </w:tcPr>
          <w:p w:rsidR="00BE3B45" w:rsidRPr="002B641E" w:rsidRDefault="00BE3B45" w:rsidP="002B641E">
            <w:pPr>
              <w:jc w:val="right"/>
              <w:rPr>
                <w:rFonts w:cs="Arial"/>
                <w:b/>
                <w:bCs/>
                <w:sz w:val="22"/>
                <w:szCs w:val="22"/>
                <w:lang w:eastAsia="en-GB"/>
              </w:rPr>
            </w:pPr>
            <w:r w:rsidRPr="002B641E">
              <w:rPr>
                <w:rFonts w:cs="Arial"/>
                <w:b/>
                <w:bCs/>
                <w:sz w:val="22"/>
                <w:szCs w:val="22"/>
                <w:lang w:eastAsia="en-GB"/>
              </w:rPr>
              <w:t>(1</w:t>
            </w:r>
            <w:r w:rsidR="002B641E" w:rsidRPr="002B641E">
              <w:rPr>
                <w:rFonts w:cs="Arial"/>
                <w:b/>
                <w:bCs/>
                <w:sz w:val="22"/>
                <w:szCs w:val="22"/>
                <w:lang w:eastAsia="en-GB"/>
              </w:rPr>
              <w:t>1</w:t>
            </w:r>
            <w:r w:rsidRPr="002B641E">
              <w:rPr>
                <w:rFonts w:cs="Arial"/>
                <w:b/>
                <w:bCs/>
                <w:sz w:val="22"/>
                <w:szCs w:val="22"/>
                <w:lang w:eastAsia="en-GB"/>
              </w:rPr>
              <w:t>,</w:t>
            </w:r>
            <w:r w:rsidR="002B641E" w:rsidRPr="002B641E">
              <w:rPr>
                <w:rFonts w:cs="Arial"/>
                <w:b/>
                <w:bCs/>
                <w:sz w:val="22"/>
                <w:szCs w:val="22"/>
                <w:lang w:eastAsia="en-GB"/>
              </w:rPr>
              <w:t>421</w:t>
            </w:r>
            <w:r w:rsidRPr="002B641E">
              <w:rPr>
                <w:rFonts w:cs="Arial"/>
                <w:b/>
                <w:bCs/>
                <w:sz w:val="22"/>
                <w:szCs w:val="22"/>
                <w:lang w:eastAsia="en-GB"/>
              </w:rPr>
              <w:t>)</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sz w:val="22"/>
                <w:szCs w:val="22"/>
                <w:lang w:eastAsia="en-GB"/>
              </w:rPr>
            </w:pPr>
            <w:r w:rsidRPr="003C7A90">
              <w:rPr>
                <w:rFonts w:cs="Arial"/>
                <w:sz w:val="22"/>
                <w:szCs w:val="22"/>
                <w:lang w:eastAsia="en-GB"/>
              </w:rPr>
              <w:t> </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BE3B45" w:rsidP="00C57244">
            <w:pPr>
              <w:rPr>
                <w:rFonts w:cs="Arial"/>
                <w:sz w:val="22"/>
                <w:szCs w:val="22"/>
                <w:lang w:eastAsia="en-GB"/>
              </w:rPr>
            </w:pP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C57244">
            <w:pPr>
              <w:rPr>
                <w:rFonts w:cs="Arial"/>
                <w:sz w:val="22"/>
                <w:szCs w:val="22"/>
                <w:lang w:eastAsia="en-GB"/>
              </w:rPr>
            </w:pPr>
          </w:p>
        </w:tc>
        <w:tc>
          <w:tcPr>
            <w:tcW w:w="1158" w:type="dxa"/>
            <w:tcBorders>
              <w:top w:val="nil"/>
              <w:left w:val="nil"/>
              <w:bottom w:val="nil"/>
              <w:right w:val="single" w:sz="4" w:space="0" w:color="auto"/>
            </w:tcBorders>
            <w:shd w:val="clear" w:color="auto" w:fill="auto"/>
            <w:noWrap/>
            <w:vAlign w:val="bottom"/>
          </w:tcPr>
          <w:p w:rsidR="00BE3B45" w:rsidRPr="002B641E" w:rsidRDefault="00BE3B45" w:rsidP="00C57244">
            <w:pPr>
              <w:rPr>
                <w:rFonts w:cs="Arial"/>
                <w:sz w:val="22"/>
                <w:szCs w:val="22"/>
                <w:lang w:eastAsia="en-GB"/>
              </w:rPr>
            </w:pP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b/>
                <w:sz w:val="22"/>
                <w:szCs w:val="22"/>
                <w:lang w:eastAsia="en-GB"/>
              </w:rPr>
            </w:pPr>
            <w:r w:rsidRPr="003C7A90">
              <w:rPr>
                <w:rFonts w:cs="Arial"/>
                <w:b/>
                <w:sz w:val="22"/>
                <w:szCs w:val="22"/>
                <w:lang w:eastAsia="en-GB"/>
              </w:rPr>
              <w:t>Resourced by:</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BE3B45" w:rsidP="00C57244">
            <w:pPr>
              <w:rPr>
                <w:rFonts w:cs="Arial"/>
                <w:sz w:val="22"/>
                <w:szCs w:val="22"/>
                <w:lang w:eastAsia="en-GB"/>
              </w:rPr>
            </w:pP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C57244">
            <w:pPr>
              <w:rPr>
                <w:rFonts w:cs="Arial"/>
                <w:sz w:val="22"/>
                <w:szCs w:val="22"/>
                <w:lang w:eastAsia="en-GB"/>
              </w:rPr>
            </w:pPr>
          </w:p>
        </w:tc>
        <w:tc>
          <w:tcPr>
            <w:tcW w:w="1158" w:type="dxa"/>
            <w:tcBorders>
              <w:top w:val="nil"/>
              <w:left w:val="nil"/>
              <w:bottom w:val="nil"/>
              <w:right w:val="single" w:sz="4" w:space="0" w:color="auto"/>
            </w:tcBorders>
            <w:shd w:val="clear" w:color="auto" w:fill="auto"/>
            <w:noWrap/>
            <w:vAlign w:val="bottom"/>
          </w:tcPr>
          <w:p w:rsidR="00BE3B45" w:rsidRPr="002B641E" w:rsidRDefault="00BE3B45" w:rsidP="00C57244">
            <w:pPr>
              <w:rPr>
                <w:rFonts w:cs="Arial"/>
                <w:sz w:val="22"/>
                <w:szCs w:val="22"/>
                <w:lang w:eastAsia="en-GB"/>
              </w:rPr>
            </w:pP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tcPr>
          <w:p w:rsidR="00BE3B45" w:rsidRPr="003C7A90" w:rsidRDefault="00BE3B45" w:rsidP="00C57244">
            <w:pPr>
              <w:rPr>
                <w:rFonts w:cs="Arial"/>
                <w:sz w:val="22"/>
                <w:szCs w:val="22"/>
                <w:lang w:eastAsia="en-GB"/>
              </w:rPr>
            </w:pPr>
            <w:r w:rsidRPr="003C7A90">
              <w:rPr>
                <w:rFonts w:cs="Arial"/>
                <w:sz w:val="22"/>
                <w:szCs w:val="22"/>
                <w:lang w:eastAsia="en-GB"/>
              </w:rPr>
              <w:t>Developer Contributions</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C3707B" w:rsidP="00AE70DE">
            <w:pPr>
              <w:jc w:val="right"/>
              <w:rPr>
                <w:rFonts w:cs="Arial"/>
                <w:sz w:val="22"/>
                <w:szCs w:val="22"/>
                <w:lang w:eastAsia="en-GB"/>
              </w:rPr>
            </w:pPr>
            <w:r>
              <w:rPr>
                <w:rFonts w:cs="Arial"/>
                <w:sz w:val="22"/>
                <w:szCs w:val="22"/>
                <w:lang w:eastAsia="en-GB"/>
              </w:rPr>
              <w:t>569</w:t>
            </w:r>
          </w:p>
        </w:tc>
        <w:tc>
          <w:tcPr>
            <w:tcW w:w="1276" w:type="dxa"/>
            <w:tcBorders>
              <w:top w:val="nil"/>
              <w:left w:val="nil"/>
              <w:bottom w:val="nil"/>
              <w:right w:val="single" w:sz="4" w:space="0" w:color="auto"/>
            </w:tcBorders>
            <w:shd w:val="clear" w:color="auto" w:fill="auto"/>
            <w:noWrap/>
            <w:vAlign w:val="bottom"/>
          </w:tcPr>
          <w:p w:rsidR="00BE3B45" w:rsidRPr="003C7A90" w:rsidRDefault="000C1500" w:rsidP="000C1500">
            <w:pPr>
              <w:jc w:val="right"/>
              <w:rPr>
                <w:rFonts w:cs="Arial"/>
                <w:sz w:val="22"/>
                <w:szCs w:val="22"/>
                <w:lang w:eastAsia="en-GB"/>
              </w:rPr>
            </w:pPr>
            <w:r w:rsidRPr="003C7A90">
              <w:rPr>
                <w:rFonts w:cs="Arial"/>
                <w:sz w:val="22"/>
                <w:szCs w:val="22"/>
                <w:lang w:eastAsia="en-GB"/>
              </w:rPr>
              <w:t>8</w:t>
            </w:r>
            <w:r>
              <w:rPr>
                <w:rFonts w:cs="Arial"/>
                <w:sz w:val="22"/>
                <w:szCs w:val="22"/>
                <w:lang w:eastAsia="en-GB"/>
              </w:rPr>
              <w:t>34</w:t>
            </w:r>
          </w:p>
        </w:tc>
        <w:tc>
          <w:tcPr>
            <w:tcW w:w="1158" w:type="dxa"/>
            <w:tcBorders>
              <w:top w:val="nil"/>
              <w:left w:val="nil"/>
              <w:bottom w:val="nil"/>
              <w:right w:val="single" w:sz="4" w:space="0" w:color="auto"/>
            </w:tcBorders>
            <w:shd w:val="clear" w:color="auto" w:fill="auto"/>
            <w:noWrap/>
            <w:vAlign w:val="bottom"/>
          </w:tcPr>
          <w:p w:rsidR="00BE3B45" w:rsidRPr="002B641E" w:rsidRDefault="002B641E" w:rsidP="007A093F">
            <w:pPr>
              <w:jc w:val="right"/>
              <w:rPr>
                <w:rFonts w:cs="Arial"/>
                <w:sz w:val="22"/>
                <w:szCs w:val="22"/>
                <w:lang w:eastAsia="en-GB"/>
              </w:rPr>
            </w:pPr>
            <w:r w:rsidRPr="002B641E">
              <w:rPr>
                <w:rFonts w:cs="Arial"/>
                <w:sz w:val="22"/>
                <w:szCs w:val="22"/>
                <w:lang w:eastAsia="en-GB"/>
              </w:rPr>
              <w:t>265</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sz w:val="22"/>
                <w:szCs w:val="22"/>
                <w:lang w:eastAsia="en-GB"/>
              </w:rPr>
            </w:pPr>
            <w:r w:rsidRPr="003C7A90">
              <w:rPr>
                <w:rFonts w:cs="Arial"/>
                <w:sz w:val="22"/>
                <w:szCs w:val="22"/>
                <w:lang w:eastAsia="en-GB"/>
              </w:rPr>
              <w:t>Capital Receipts</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C3707B" w:rsidP="00C3707B">
            <w:pPr>
              <w:jc w:val="right"/>
              <w:rPr>
                <w:rFonts w:cs="Arial"/>
                <w:sz w:val="22"/>
                <w:szCs w:val="22"/>
                <w:lang w:eastAsia="en-GB"/>
              </w:rPr>
            </w:pPr>
            <w:r>
              <w:rPr>
                <w:rFonts w:cs="Arial"/>
                <w:sz w:val="22"/>
                <w:szCs w:val="22"/>
                <w:lang w:eastAsia="en-GB"/>
              </w:rPr>
              <w:t>11,159</w:t>
            </w: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5B5EAF">
            <w:pPr>
              <w:jc w:val="right"/>
              <w:rPr>
                <w:rFonts w:cs="Arial"/>
                <w:sz w:val="22"/>
                <w:szCs w:val="22"/>
                <w:lang w:eastAsia="en-GB"/>
              </w:rPr>
            </w:pPr>
            <w:r w:rsidRPr="003C7A90">
              <w:rPr>
                <w:rFonts w:cs="Arial"/>
                <w:sz w:val="22"/>
                <w:szCs w:val="22"/>
                <w:lang w:eastAsia="en-GB"/>
              </w:rPr>
              <w:t>17,763</w:t>
            </w:r>
          </w:p>
        </w:tc>
        <w:tc>
          <w:tcPr>
            <w:tcW w:w="1158" w:type="dxa"/>
            <w:tcBorders>
              <w:top w:val="nil"/>
              <w:left w:val="nil"/>
              <w:bottom w:val="nil"/>
              <w:right w:val="single" w:sz="4" w:space="0" w:color="auto"/>
            </w:tcBorders>
            <w:shd w:val="clear" w:color="auto" w:fill="auto"/>
            <w:noWrap/>
            <w:vAlign w:val="bottom"/>
          </w:tcPr>
          <w:p w:rsidR="00BE3B45" w:rsidRPr="002B641E" w:rsidRDefault="002B641E" w:rsidP="005B5EAF">
            <w:pPr>
              <w:jc w:val="right"/>
              <w:rPr>
                <w:rFonts w:cs="Arial"/>
                <w:sz w:val="22"/>
                <w:szCs w:val="22"/>
                <w:lang w:eastAsia="en-GB"/>
              </w:rPr>
            </w:pPr>
            <w:r w:rsidRPr="002B641E">
              <w:rPr>
                <w:rFonts w:cs="Arial"/>
                <w:sz w:val="22"/>
                <w:szCs w:val="22"/>
                <w:lang w:eastAsia="en-GB"/>
              </w:rPr>
              <w:t>6,604</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sz w:val="22"/>
                <w:szCs w:val="22"/>
                <w:lang w:eastAsia="en-GB"/>
              </w:rPr>
            </w:pPr>
            <w:r w:rsidRPr="003C7A90">
              <w:rPr>
                <w:rFonts w:cs="Arial"/>
                <w:sz w:val="22"/>
                <w:szCs w:val="22"/>
                <w:lang w:eastAsia="en-GB"/>
              </w:rPr>
              <w:t>Capital Grants and contributions</w:t>
            </w:r>
          </w:p>
        </w:tc>
        <w:tc>
          <w:tcPr>
            <w:tcW w:w="1276" w:type="dxa"/>
            <w:tcBorders>
              <w:top w:val="nil"/>
              <w:left w:val="single" w:sz="4" w:space="0" w:color="auto"/>
              <w:bottom w:val="nil"/>
              <w:right w:val="single" w:sz="4" w:space="0" w:color="auto"/>
            </w:tcBorders>
            <w:shd w:val="clear" w:color="auto" w:fill="auto"/>
            <w:noWrap/>
            <w:vAlign w:val="bottom"/>
          </w:tcPr>
          <w:p w:rsidR="00BE3B45" w:rsidRPr="00E96397" w:rsidRDefault="00DF738B" w:rsidP="003F5F1F">
            <w:pPr>
              <w:jc w:val="right"/>
              <w:rPr>
                <w:rFonts w:cs="Arial"/>
                <w:sz w:val="22"/>
                <w:szCs w:val="22"/>
                <w:lang w:eastAsia="en-GB"/>
              </w:rPr>
            </w:pPr>
            <w:r>
              <w:rPr>
                <w:rFonts w:cs="Arial"/>
                <w:sz w:val="22"/>
                <w:szCs w:val="22"/>
                <w:lang w:eastAsia="en-GB"/>
              </w:rPr>
              <w:t>5,147</w:t>
            </w:r>
          </w:p>
        </w:tc>
        <w:tc>
          <w:tcPr>
            <w:tcW w:w="1276" w:type="dxa"/>
            <w:tcBorders>
              <w:top w:val="nil"/>
              <w:left w:val="nil"/>
              <w:bottom w:val="nil"/>
              <w:right w:val="single" w:sz="4" w:space="0" w:color="auto"/>
            </w:tcBorders>
            <w:shd w:val="clear" w:color="auto" w:fill="auto"/>
            <w:noWrap/>
            <w:vAlign w:val="bottom"/>
          </w:tcPr>
          <w:p w:rsidR="00BE3B45" w:rsidRPr="00E96397" w:rsidRDefault="00131B25" w:rsidP="00180914">
            <w:pPr>
              <w:jc w:val="right"/>
              <w:rPr>
                <w:rFonts w:cs="Arial"/>
                <w:sz w:val="22"/>
                <w:szCs w:val="22"/>
                <w:lang w:eastAsia="en-GB"/>
              </w:rPr>
            </w:pPr>
            <w:r>
              <w:rPr>
                <w:rFonts w:cs="Arial"/>
                <w:sz w:val="22"/>
                <w:szCs w:val="22"/>
                <w:lang w:eastAsia="en-GB"/>
              </w:rPr>
              <w:t>1,760</w:t>
            </w:r>
          </w:p>
        </w:tc>
        <w:tc>
          <w:tcPr>
            <w:tcW w:w="1158" w:type="dxa"/>
            <w:tcBorders>
              <w:top w:val="nil"/>
              <w:left w:val="nil"/>
              <w:bottom w:val="nil"/>
              <w:right w:val="single" w:sz="4" w:space="0" w:color="auto"/>
            </w:tcBorders>
            <w:shd w:val="clear" w:color="auto" w:fill="auto"/>
            <w:noWrap/>
            <w:vAlign w:val="bottom"/>
          </w:tcPr>
          <w:p w:rsidR="00BE3B45" w:rsidRPr="002B641E" w:rsidRDefault="002B641E" w:rsidP="00E96397">
            <w:pPr>
              <w:jc w:val="right"/>
              <w:rPr>
                <w:rFonts w:cs="Arial"/>
                <w:sz w:val="22"/>
                <w:szCs w:val="22"/>
                <w:lang w:eastAsia="en-GB"/>
              </w:rPr>
            </w:pPr>
            <w:r w:rsidRPr="002B641E">
              <w:rPr>
                <w:rFonts w:cs="Arial"/>
                <w:sz w:val="22"/>
                <w:szCs w:val="22"/>
                <w:lang w:eastAsia="en-GB"/>
              </w:rPr>
              <w:t>(3,387)</w:t>
            </w:r>
          </w:p>
        </w:tc>
      </w:tr>
      <w:tr w:rsidR="00C3707B"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tcPr>
          <w:p w:rsidR="00C3707B" w:rsidRPr="003C7A90" w:rsidRDefault="00C3707B" w:rsidP="00DF738B">
            <w:pPr>
              <w:rPr>
                <w:rFonts w:cs="Arial"/>
                <w:sz w:val="22"/>
                <w:szCs w:val="22"/>
                <w:lang w:eastAsia="en-GB"/>
              </w:rPr>
            </w:pPr>
            <w:r>
              <w:rPr>
                <w:rFonts w:cs="Arial"/>
                <w:sz w:val="22"/>
                <w:szCs w:val="22"/>
                <w:lang w:eastAsia="en-GB"/>
              </w:rPr>
              <w:t xml:space="preserve">Major Repairs </w:t>
            </w:r>
            <w:r w:rsidR="00DF738B">
              <w:rPr>
                <w:rFonts w:cs="Arial"/>
                <w:sz w:val="22"/>
                <w:szCs w:val="22"/>
                <w:lang w:eastAsia="en-GB"/>
              </w:rPr>
              <w:t>Reserve</w:t>
            </w:r>
          </w:p>
        </w:tc>
        <w:tc>
          <w:tcPr>
            <w:tcW w:w="1276" w:type="dxa"/>
            <w:tcBorders>
              <w:top w:val="nil"/>
              <w:left w:val="single" w:sz="4" w:space="0" w:color="auto"/>
              <w:bottom w:val="nil"/>
              <w:right w:val="single" w:sz="4" w:space="0" w:color="auto"/>
            </w:tcBorders>
            <w:shd w:val="clear" w:color="auto" w:fill="auto"/>
            <w:noWrap/>
            <w:vAlign w:val="bottom"/>
          </w:tcPr>
          <w:p w:rsidR="00C3707B" w:rsidRPr="003C7A90" w:rsidRDefault="00C3707B" w:rsidP="000C1500">
            <w:pPr>
              <w:jc w:val="right"/>
              <w:rPr>
                <w:rFonts w:cs="Arial"/>
                <w:sz w:val="22"/>
                <w:szCs w:val="22"/>
                <w:lang w:eastAsia="en-GB"/>
              </w:rPr>
            </w:pPr>
            <w:r>
              <w:rPr>
                <w:rFonts w:cs="Arial"/>
                <w:sz w:val="22"/>
                <w:szCs w:val="22"/>
                <w:lang w:eastAsia="en-GB"/>
              </w:rPr>
              <w:t>22,</w:t>
            </w:r>
            <w:r w:rsidR="000C1500">
              <w:rPr>
                <w:rFonts w:cs="Arial"/>
                <w:sz w:val="22"/>
                <w:szCs w:val="22"/>
                <w:lang w:eastAsia="en-GB"/>
              </w:rPr>
              <w:t>491</w:t>
            </w:r>
          </w:p>
        </w:tc>
        <w:tc>
          <w:tcPr>
            <w:tcW w:w="1276" w:type="dxa"/>
            <w:tcBorders>
              <w:top w:val="nil"/>
              <w:left w:val="nil"/>
              <w:bottom w:val="nil"/>
              <w:right w:val="single" w:sz="4" w:space="0" w:color="auto"/>
            </w:tcBorders>
            <w:shd w:val="clear" w:color="auto" w:fill="auto"/>
            <w:noWrap/>
            <w:vAlign w:val="bottom"/>
          </w:tcPr>
          <w:p w:rsidR="00C3707B" w:rsidRPr="003C7A90" w:rsidRDefault="00131B25" w:rsidP="00C57244">
            <w:pPr>
              <w:jc w:val="right"/>
              <w:rPr>
                <w:rFonts w:cs="Arial"/>
                <w:sz w:val="22"/>
                <w:szCs w:val="22"/>
                <w:lang w:eastAsia="en-GB"/>
              </w:rPr>
            </w:pPr>
            <w:r>
              <w:rPr>
                <w:rFonts w:cs="Arial"/>
                <w:sz w:val="22"/>
                <w:szCs w:val="22"/>
                <w:lang w:eastAsia="en-GB"/>
              </w:rPr>
              <w:t>8,704</w:t>
            </w:r>
          </w:p>
        </w:tc>
        <w:tc>
          <w:tcPr>
            <w:tcW w:w="1158" w:type="dxa"/>
            <w:tcBorders>
              <w:top w:val="nil"/>
              <w:left w:val="nil"/>
              <w:bottom w:val="nil"/>
              <w:right w:val="single" w:sz="4" w:space="0" w:color="auto"/>
            </w:tcBorders>
            <w:shd w:val="clear" w:color="auto" w:fill="auto"/>
            <w:noWrap/>
            <w:vAlign w:val="bottom"/>
          </w:tcPr>
          <w:p w:rsidR="00C3707B" w:rsidRPr="002B641E" w:rsidRDefault="002B641E" w:rsidP="00C57244">
            <w:pPr>
              <w:jc w:val="right"/>
              <w:rPr>
                <w:rFonts w:cs="Arial"/>
                <w:sz w:val="22"/>
                <w:szCs w:val="22"/>
                <w:lang w:eastAsia="en-GB"/>
              </w:rPr>
            </w:pPr>
            <w:r w:rsidRPr="002B641E">
              <w:rPr>
                <w:rFonts w:cs="Arial"/>
                <w:sz w:val="22"/>
                <w:szCs w:val="22"/>
                <w:lang w:eastAsia="en-GB"/>
              </w:rPr>
              <w:t>(13,787)</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1F381C">
            <w:pPr>
              <w:rPr>
                <w:rFonts w:cs="Arial"/>
                <w:sz w:val="22"/>
                <w:szCs w:val="22"/>
                <w:lang w:eastAsia="en-GB"/>
              </w:rPr>
            </w:pPr>
            <w:r w:rsidRPr="003C7A90">
              <w:rPr>
                <w:rFonts w:cs="Arial"/>
                <w:sz w:val="22"/>
                <w:szCs w:val="22"/>
                <w:lang w:eastAsia="en-GB"/>
              </w:rPr>
              <w:t>Prudential Borrowing</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BE3B45" w:rsidP="002A4987">
            <w:pPr>
              <w:jc w:val="right"/>
              <w:rPr>
                <w:rFonts w:cs="Arial"/>
                <w:sz w:val="22"/>
                <w:szCs w:val="22"/>
                <w:lang w:eastAsia="en-GB"/>
              </w:rPr>
            </w:pPr>
            <w:r w:rsidRPr="003C7A90">
              <w:rPr>
                <w:rFonts w:cs="Arial"/>
                <w:sz w:val="22"/>
                <w:szCs w:val="22"/>
                <w:lang w:eastAsia="en-GB"/>
              </w:rPr>
              <w:t>2,</w:t>
            </w:r>
            <w:r w:rsidR="002A4987">
              <w:rPr>
                <w:rFonts w:cs="Arial"/>
                <w:sz w:val="22"/>
                <w:szCs w:val="22"/>
                <w:lang w:eastAsia="en-GB"/>
              </w:rPr>
              <w:t>907</w:t>
            </w: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C57244">
            <w:pPr>
              <w:jc w:val="right"/>
              <w:rPr>
                <w:rFonts w:cs="Arial"/>
                <w:sz w:val="22"/>
                <w:szCs w:val="22"/>
                <w:lang w:eastAsia="en-GB"/>
              </w:rPr>
            </w:pPr>
            <w:r w:rsidRPr="003C7A90">
              <w:rPr>
                <w:rFonts w:cs="Arial"/>
                <w:sz w:val="22"/>
                <w:szCs w:val="22"/>
                <w:lang w:eastAsia="en-GB"/>
              </w:rPr>
              <w:t>0</w:t>
            </w:r>
          </w:p>
        </w:tc>
        <w:tc>
          <w:tcPr>
            <w:tcW w:w="1158" w:type="dxa"/>
            <w:tcBorders>
              <w:top w:val="nil"/>
              <w:left w:val="nil"/>
              <w:bottom w:val="nil"/>
              <w:right w:val="single" w:sz="4" w:space="0" w:color="auto"/>
            </w:tcBorders>
            <w:shd w:val="clear" w:color="auto" w:fill="auto"/>
            <w:noWrap/>
            <w:vAlign w:val="bottom"/>
          </w:tcPr>
          <w:p w:rsidR="00BE3B45" w:rsidRPr="002B641E" w:rsidRDefault="00BE3B45" w:rsidP="002A4987">
            <w:pPr>
              <w:jc w:val="right"/>
              <w:rPr>
                <w:rFonts w:cs="Arial"/>
                <w:sz w:val="22"/>
                <w:szCs w:val="22"/>
                <w:lang w:eastAsia="en-GB"/>
              </w:rPr>
            </w:pPr>
            <w:r w:rsidRPr="002B641E">
              <w:rPr>
                <w:rFonts w:cs="Arial"/>
                <w:sz w:val="22"/>
                <w:szCs w:val="22"/>
                <w:lang w:eastAsia="en-GB"/>
              </w:rPr>
              <w:t>(2,</w:t>
            </w:r>
            <w:r w:rsidR="002A4987">
              <w:rPr>
                <w:rFonts w:cs="Arial"/>
                <w:sz w:val="22"/>
                <w:szCs w:val="22"/>
                <w:lang w:eastAsia="en-GB"/>
              </w:rPr>
              <w:t>907</w:t>
            </w:r>
            <w:r w:rsidRPr="002B641E">
              <w:rPr>
                <w:rFonts w:cs="Arial"/>
                <w:sz w:val="22"/>
                <w:szCs w:val="22"/>
                <w:lang w:eastAsia="en-GB"/>
              </w:rPr>
              <w:t>)</w:t>
            </w:r>
          </w:p>
        </w:tc>
      </w:tr>
      <w:tr w:rsidR="00BE3B45" w:rsidRPr="003C7A90" w:rsidTr="00C91B86">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BE3B45" w:rsidRPr="003C7A90" w:rsidRDefault="00BE3B45" w:rsidP="00C57244">
            <w:pPr>
              <w:rPr>
                <w:rFonts w:cs="Arial"/>
                <w:sz w:val="22"/>
                <w:szCs w:val="22"/>
                <w:lang w:eastAsia="en-GB"/>
              </w:rPr>
            </w:pPr>
            <w:r w:rsidRPr="003C7A90">
              <w:rPr>
                <w:rFonts w:cs="Arial"/>
                <w:sz w:val="22"/>
                <w:szCs w:val="22"/>
                <w:lang w:eastAsia="en-GB"/>
              </w:rPr>
              <w:t>Revenue</w:t>
            </w:r>
          </w:p>
        </w:tc>
        <w:tc>
          <w:tcPr>
            <w:tcW w:w="1276" w:type="dxa"/>
            <w:tcBorders>
              <w:top w:val="nil"/>
              <w:left w:val="single" w:sz="4" w:space="0" w:color="auto"/>
              <w:bottom w:val="nil"/>
              <w:right w:val="single" w:sz="4" w:space="0" w:color="auto"/>
            </w:tcBorders>
            <w:shd w:val="clear" w:color="auto" w:fill="auto"/>
            <w:noWrap/>
            <w:vAlign w:val="bottom"/>
          </w:tcPr>
          <w:p w:rsidR="00BE3B45" w:rsidRPr="003C7A90" w:rsidRDefault="00BE3B45" w:rsidP="002A4987">
            <w:pPr>
              <w:jc w:val="right"/>
              <w:rPr>
                <w:rFonts w:cs="Arial"/>
                <w:sz w:val="22"/>
                <w:szCs w:val="22"/>
                <w:lang w:eastAsia="en-GB"/>
              </w:rPr>
            </w:pPr>
            <w:r w:rsidRPr="003C7A90">
              <w:rPr>
                <w:rFonts w:cs="Arial"/>
                <w:sz w:val="22"/>
                <w:szCs w:val="22"/>
                <w:lang w:eastAsia="en-GB"/>
              </w:rPr>
              <w:t>1</w:t>
            </w:r>
            <w:r w:rsidR="002A4987">
              <w:rPr>
                <w:rFonts w:cs="Arial"/>
                <w:sz w:val="22"/>
                <w:szCs w:val="22"/>
                <w:lang w:eastAsia="en-GB"/>
              </w:rPr>
              <w:t>7</w:t>
            </w:r>
            <w:r w:rsidR="00C3707B">
              <w:rPr>
                <w:rFonts w:cs="Arial"/>
                <w:sz w:val="22"/>
                <w:szCs w:val="22"/>
                <w:lang w:eastAsia="en-GB"/>
              </w:rPr>
              <w:t>,</w:t>
            </w:r>
            <w:r w:rsidR="002A4987">
              <w:rPr>
                <w:rFonts w:cs="Arial"/>
                <w:sz w:val="22"/>
                <w:szCs w:val="22"/>
                <w:lang w:eastAsia="en-GB"/>
              </w:rPr>
              <w:t>860</w:t>
            </w:r>
          </w:p>
        </w:tc>
        <w:tc>
          <w:tcPr>
            <w:tcW w:w="1276" w:type="dxa"/>
            <w:tcBorders>
              <w:top w:val="nil"/>
              <w:left w:val="nil"/>
              <w:bottom w:val="nil"/>
              <w:right w:val="single" w:sz="4" w:space="0" w:color="auto"/>
            </w:tcBorders>
            <w:shd w:val="clear" w:color="auto" w:fill="auto"/>
            <w:noWrap/>
            <w:vAlign w:val="bottom"/>
          </w:tcPr>
          <w:p w:rsidR="00BE3B45" w:rsidRPr="003C7A90" w:rsidRDefault="00BE3B45" w:rsidP="00C57244">
            <w:pPr>
              <w:jc w:val="right"/>
              <w:rPr>
                <w:rFonts w:cs="Arial"/>
                <w:sz w:val="22"/>
                <w:szCs w:val="22"/>
                <w:lang w:eastAsia="en-GB"/>
              </w:rPr>
            </w:pPr>
            <w:r w:rsidRPr="003C7A90">
              <w:rPr>
                <w:rFonts w:cs="Arial"/>
                <w:sz w:val="22"/>
                <w:szCs w:val="22"/>
                <w:lang w:eastAsia="en-GB"/>
              </w:rPr>
              <w:t>19,651</w:t>
            </w:r>
          </w:p>
        </w:tc>
        <w:tc>
          <w:tcPr>
            <w:tcW w:w="1158" w:type="dxa"/>
            <w:tcBorders>
              <w:top w:val="nil"/>
              <w:left w:val="nil"/>
              <w:bottom w:val="nil"/>
              <w:right w:val="single" w:sz="4" w:space="0" w:color="auto"/>
            </w:tcBorders>
            <w:shd w:val="clear" w:color="auto" w:fill="auto"/>
            <w:noWrap/>
            <w:vAlign w:val="bottom"/>
          </w:tcPr>
          <w:p w:rsidR="00BE3B45" w:rsidRPr="002B641E" w:rsidRDefault="002B641E" w:rsidP="002A4987">
            <w:pPr>
              <w:jc w:val="right"/>
              <w:rPr>
                <w:rFonts w:cs="Arial"/>
                <w:sz w:val="22"/>
                <w:szCs w:val="22"/>
                <w:lang w:eastAsia="en-GB"/>
              </w:rPr>
            </w:pPr>
            <w:r w:rsidRPr="002B641E">
              <w:rPr>
                <w:rFonts w:cs="Arial"/>
                <w:sz w:val="22"/>
                <w:szCs w:val="22"/>
                <w:lang w:eastAsia="en-GB"/>
              </w:rPr>
              <w:t>1</w:t>
            </w:r>
            <w:r w:rsidR="00BE3B45" w:rsidRPr="002B641E">
              <w:rPr>
                <w:rFonts w:cs="Arial"/>
                <w:sz w:val="22"/>
                <w:szCs w:val="22"/>
                <w:lang w:eastAsia="en-GB"/>
              </w:rPr>
              <w:t>,</w:t>
            </w:r>
            <w:r w:rsidR="002A4987">
              <w:rPr>
                <w:rFonts w:cs="Arial"/>
                <w:sz w:val="22"/>
                <w:szCs w:val="22"/>
                <w:lang w:eastAsia="en-GB"/>
              </w:rPr>
              <w:t>791</w:t>
            </w:r>
          </w:p>
        </w:tc>
      </w:tr>
      <w:tr w:rsidR="00BE3B45" w:rsidRPr="003C7A90" w:rsidTr="00C91B8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BE3B45" w:rsidRPr="003C7A90" w:rsidRDefault="00BE3B45" w:rsidP="00C57244">
            <w:pPr>
              <w:rPr>
                <w:rFonts w:cs="Arial"/>
                <w:b/>
                <w:bCs/>
                <w:sz w:val="22"/>
                <w:szCs w:val="22"/>
                <w:lang w:eastAsia="en-GB"/>
              </w:rPr>
            </w:pPr>
            <w:r w:rsidRPr="003C7A90">
              <w:rPr>
                <w:rFonts w:cs="Arial"/>
                <w:b/>
                <w:bCs/>
                <w:sz w:val="22"/>
                <w:szCs w:val="22"/>
                <w:lang w:eastAsia="en-GB"/>
              </w:rPr>
              <w:t>Total Capital Resources</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E3B45" w:rsidRPr="003C7A90" w:rsidRDefault="00DF738B" w:rsidP="000C1500">
            <w:pPr>
              <w:jc w:val="right"/>
              <w:rPr>
                <w:rFonts w:cs="Arial"/>
                <w:b/>
                <w:bCs/>
                <w:sz w:val="22"/>
                <w:szCs w:val="22"/>
                <w:lang w:eastAsia="en-GB"/>
              </w:rPr>
            </w:pPr>
            <w:r>
              <w:rPr>
                <w:rFonts w:cs="Arial"/>
                <w:b/>
                <w:bCs/>
                <w:sz w:val="22"/>
                <w:szCs w:val="22"/>
                <w:lang w:eastAsia="en-GB"/>
              </w:rPr>
              <w:t>60</w:t>
            </w:r>
            <w:r w:rsidR="000C1500">
              <w:rPr>
                <w:rFonts w:cs="Arial"/>
                <w:b/>
                <w:bCs/>
                <w:sz w:val="22"/>
                <w:szCs w:val="22"/>
                <w:lang w:eastAsia="en-GB"/>
              </w:rPr>
              <w:t>,</w:t>
            </w:r>
            <w:r>
              <w:rPr>
                <w:rFonts w:cs="Arial"/>
                <w:b/>
                <w:bCs/>
                <w:sz w:val="22"/>
                <w:szCs w:val="22"/>
                <w:lang w:eastAsia="en-GB"/>
              </w:rPr>
              <w:t>133</w:t>
            </w:r>
          </w:p>
        </w:tc>
        <w:tc>
          <w:tcPr>
            <w:tcW w:w="1276" w:type="dxa"/>
            <w:tcBorders>
              <w:top w:val="nil"/>
              <w:left w:val="nil"/>
              <w:bottom w:val="single" w:sz="4" w:space="0" w:color="auto"/>
              <w:right w:val="single" w:sz="4" w:space="0" w:color="auto"/>
            </w:tcBorders>
            <w:shd w:val="clear" w:color="auto" w:fill="auto"/>
            <w:noWrap/>
            <w:vAlign w:val="bottom"/>
          </w:tcPr>
          <w:p w:rsidR="00BE3B45" w:rsidRPr="003C7A90" w:rsidRDefault="00BE3B45" w:rsidP="00180914">
            <w:pPr>
              <w:jc w:val="right"/>
              <w:rPr>
                <w:rFonts w:cs="Arial"/>
                <w:b/>
                <w:bCs/>
                <w:sz w:val="22"/>
                <w:szCs w:val="22"/>
                <w:lang w:eastAsia="en-GB"/>
              </w:rPr>
            </w:pPr>
            <w:r w:rsidRPr="003C7A90">
              <w:rPr>
                <w:rFonts w:cs="Arial"/>
                <w:b/>
                <w:bCs/>
                <w:sz w:val="22"/>
                <w:szCs w:val="22"/>
                <w:lang w:eastAsia="en-GB"/>
              </w:rPr>
              <w:t>48,712</w:t>
            </w:r>
          </w:p>
        </w:tc>
        <w:tc>
          <w:tcPr>
            <w:tcW w:w="1158" w:type="dxa"/>
            <w:tcBorders>
              <w:top w:val="nil"/>
              <w:left w:val="nil"/>
              <w:bottom w:val="single" w:sz="4" w:space="0" w:color="auto"/>
              <w:right w:val="single" w:sz="4" w:space="0" w:color="auto"/>
            </w:tcBorders>
            <w:shd w:val="clear" w:color="auto" w:fill="auto"/>
            <w:noWrap/>
            <w:vAlign w:val="bottom"/>
          </w:tcPr>
          <w:p w:rsidR="00BE3B45" w:rsidRPr="002B641E" w:rsidRDefault="002B641E" w:rsidP="00C57244">
            <w:pPr>
              <w:jc w:val="right"/>
              <w:rPr>
                <w:rFonts w:cs="Arial"/>
                <w:b/>
                <w:bCs/>
                <w:sz w:val="22"/>
                <w:szCs w:val="22"/>
                <w:lang w:eastAsia="en-GB"/>
              </w:rPr>
            </w:pPr>
            <w:r w:rsidRPr="002B641E">
              <w:rPr>
                <w:rFonts w:cs="Arial"/>
                <w:b/>
                <w:bCs/>
                <w:sz w:val="22"/>
                <w:szCs w:val="22"/>
                <w:lang w:eastAsia="en-GB"/>
              </w:rPr>
              <w:t>(11,421)</w:t>
            </w:r>
          </w:p>
        </w:tc>
      </w:tr>
    </w:tbl>
    <w:p w:rsidR="0073174C" w:rsidRPr="003C7A90" w:rsidRDefault="0073174C" w:rsidP="0073174C">
      <w:pPr>
        <w:ind w:left="360"/>
      </w:pPr>
    </w:p>
    <w:p w:rsidR="0073174C" w:rsidRDefault="0073174C" w:rsidP="00BC1A13">
      <w:pPr>
        <w:numPr>
          <w:ilvl w:val="0"/>
          <w:numId w:val="3"/>
        </w:numPr>
        <w:ind w:hanging="502"/>
      </w:pPr>
      <w:r w:rsidRPr="00F94D74">
        <w:t>The key variations relate to the following</w:t>
      </w:r>
      <w:r w:rsidR="007F56B1" w:rsidRPr="00F94D74">
        <w:t xml:space="preserve"> </w:t>
      </w:r>
      <w:r w:rsidR="00404005">
        <w:t>movements</w:t>
      </w:r>
      <w:r w:rsidR="00404005" w:rsidRPr="00F94D74">
        <w:t xml:space="preserve"> </w:t>
      </w:r>
      <w:r w:rsidR="007F56B1" w:rsidRPr="00F94D74">
        <w:t>in the Capital Programme</w:t>
      </w:r>
      <w:r w:rsidRPr="00F94D74">
        <w:t>:</w:t>
      </w:r>
    </w:p>
    <w:p w:rsidR="00404005" w:rsidRPr="0054331F" w:rsidRDefault="00404005" w:rsidP="00404005">
      <w:pPr>
        <w:ind w:left="502"/>
        <w:rPr>
          <w:u w:val="single"/>
        </w:rPr>
      </w:pPr>
      <w:r w:rsidRPr="0054331F">
        <w:rPr>
          <w:u w:val="single"/>
        </w:rPr>
        <w:t>General Fund</w:t>
      </w:r>
    </w:p>
    <w:p w:rsidR="00404005" w:rsidRPr="003A6F78" w:rsidRDefault="00404005" w:rsidP="00404005">
      <w:pPr>
        <w:ind w:left="502"/>
        <w:rPr>
          <w:u w:val="single"/>
        </w:rPr>
      </w:pPr>
      <w:r w:rsidRPr="003A6F78">
        <w:rPr>
          <w:u w:val="single"/>
        </w:rPr>
        <w:t>Net Slippage</w:t>
      </w:r>
    </w:p>
    <w:p w:rsidR="003A6F78" w:rsidRDefault="00DE2438" w:rsidP="00BC1A13">
      <w:pPr>
        <w:numPr>
          <w:ilvl w:val="0"/>
          <w:numId w:val="40"/>
        </w:numPr>
        <w:ind w:left="993" w:hanging="426"/>
        <w:rPr>
          <w:rFonts w:cs="Arial"/>
          <w:bCs/>
        </w:rPr>
      </w:pPr>
      <w:r w:rsidRPr="00A14104">
        <w:rPr>
          <w:rFonts w:cs="Arial"/>
          <w:bCs/>
        </w:rPr>
        <w:t>£</w:t>
      </w:r>
      <w:r w:rsidR="00404005">
        <w:rPr>
          <w:rFonts w:cs="Arial"/>
          <w:bCs/>
        </w:rPr>
        <w:t>3.720</w:t>
      </w:r>
      <w:r w:rsidRPr="00A14104">
        <w:rPr>
          <w:rFonts w:cs="Arial"/>
          <w:bCs/>
        </w:rPr>
        <w:t xml:space="preserve"> million </w:t>
      </w:r>
      <w:r w:rsidR="00404005">
        <w:rPr>
          <w:rFonts w:cs="Arial"/>
          <w:bCs/>
        </w:rPr>
        <w:t>on</w:t>
      </w:r>
      <w:r w:rsidRPr="00A14104">
        <w:rPr>
          <w:rFonts w:cs="Arial"/>
          <w:bCs/>
        </w:rPr>
        <w:t xml:space="preserve"> </w:t>
      </w:r>
      <w:proofErr w:type="spellStart"/>
      <w:r w:rsidRPr="00A14104">
        <w:rPr>
          <w:rFonts w:cs="Arial"/>
          <w:bCs/>
        </w:rPr>
        <w:t>Superconnected</w:t>
      </w:r>
      <w:proofErr w:type="spellEnd"/>
      <w:r w:rsidRPr="00A14104">
        <w:rPr>
          <w:rFonts w:cs="Arial"/>
          <w:bCs/>
        </w:rPr>
        <w:t xml:space="preserve"> Cities.</w:t>
      </w:r>
    </w:p>
    <w:p w:rsidR="00DE2438" w:rsidRPr="00A14104" w:rsidRDefault="00DE2438" w:rsidP="00BC1A13">
      <w:pPr>
        <w:numPr>
          <w:ilvl w:val="0"/>
          <w:numId w:val="40"/>
        </w:numPr>
        <w:ind w:left="993" w:hanging="426"/>
        <w:rPr>
          <w:rFonts w:cs="Arial"/>
          <w:bCs/>
        </w:rPr>
      </w:pPr>
      <w:r w:rsidRPr="00A14104">
        <w:rPr>
          <w:rFonts w:cs="Arial"/>
          <w:bCs/>
        </w:rPr>
        <w:t>£0.</w:t>
      </w:r>
      <w:r w:rsidR="00404005">
        <w:rPr>
          <w:rFonts w:cs="Arial"/>
          <w:bCs/>
        </w:rPr>
        <w:t>268</w:t>
      </w:r>
      <w:r w:rsidR="00404005" w:rsidRPr="00A14104">
        <w:rPr>
          <w:rFonts w:cs="Arial"/>
          <w:bCs/>
        </w:rPr>
        <w:t xml:space="preserve"> </w:t>
      </w:r>
      <w:r w:rsidRPr="00A14104">
        <w:rPr>
          <w:rFonts w:cs="Arial"/>
          <w:bCs/>
        </w:rPr>
        <w:t xml:space="preserve">million on </w:t>
      </w:r>
      <w:r w:rsidR="00404005">
        <w:rPr>
          <w:rFonts w:cs="Arial"/>
          <w:bCs/>
        </w:rPr>
        <w:t>Flood alleviation at Northway and Marston</w:t>
      </w:r>
    </w:p>
    <w:p w:rsidR="00DE2438" w:rsidRDefault="00DE2438" w:rsidP="00BC1A13">
      <w:pPr>
        <w:numPr>
          <w:ilvl w:val="0"/>
          <w:numId w:val="40"/>
        </w:numPr>
        <w:ind w:left="993" w:hanging="426"/>
        <w:rPr>
          <w:rFonts w:cs="Arial"/>
          <w:bCs/>
        </w:rPr>
      </w:pPr>
      <w:r w:rsidRPr="003C7A90">
        <w:rPr>
          <w:rFonts w:cs="Arial"/>
          <w:bCs/>
        </w:rPr>
        <w:t>£0.</w:t>
      </w:r>
      <w:r w:rsidR="00404005">
        <w:rPr>
          <w:rFonts w:cs="Arial"/>
          <w:bCs/>
        </w:rPr>
        <w:t>118</w:t>
      </w:r>
      <w:r w:rsidR="00404005" w:rsidRPr="003C7A90">
        <w:rPr>
          <w:rFonts w:cs="Arial"/>
          <w:bCs/>
        </w:rPr>
        <w:t xml:space="preserve"> </w:t>
      </w:r>
      <w:r w:rsidRPr="003C7A90">
        <w:rPr>
          <w:rFonts w:cs="Arial"/>
          <w:bCs/>
        </w:rPr>
        <w:t xml:space="preserve">million  on </w:t>
      </w:r>
      <w:r w:rsidR="00F22C3A">
        <w:rPr>
          <w:rFonts w:cs="Arial"/>
          <w:bCs/>
        </w:rPr>
        <w:t>Community Centres</w:t>
      </w:r>
    </w:p>
    <w:p w:rsidR="00F22C3A" w:rsidRDefault="00F22C3A" w:rsidP="00BC1A13">
      <w:pPr>
        <w:numPr>
          <w:ilvl w:val="0"/>
          <w:numId w:val="40"/>
        </w:numPr>
        <w:ind w:left="993" w:hanging="426"/>
        <w:rPr>
          <w:rFonts w:cs="Arial"/>
          <w:bCs/>
        </w:rPr>
      </w:pPr>
      <w:r>
        <w:rPr>
          <w:rFonts w:cs="Arial"/>
          <w:bCs/>
        </w:rPr>
        <w:t>£0.223 million on Investment Properties</w:t>
      </w:r>
    </w:p>
    <w:p w:rsidR="00F22C3A" w:rsidRDefault="00F22C3A" w:rsidP="00BC1A13">
      <w:pPr>
        <w:numPr>
          <w:ilvl w:val="0"/>
          <w:numId w:val="40"/>
        </w:numPr>
        <w:ind w:left="993" w:hanging="426"/>
        <w:rPr>
          <w:rFonts w:cs="Arial"/>
          <w:bCs/>
        </w:rPr>
      </w:pPr>
      <w:r>
        <w:rPr>
          <w:rFonts w:cs="Arial"/>
          <w:bCs/>
        </w:rPr>
        <w:t>£0.115 million on Templar Square</w:t>
      </w:r>
    </w:p>
    <w:p w:rsidR="00F22C3A" w:rsidRDefault="00F22C3A" w:rsidP="00BC1A13">
      <w:pPr>
        <w:numPr>
          <w:ilvl w:val="0"/>
          <w:numId w:val="40"/>
        </w:numPr>
        <w:ind w:left="993" w:hanging="426"/>
        <w:rPr>
          <w:rFonts w:cs="Arial"/>
          <w:bCs/>
        </w:rPr>
      </w:pPr>
      <w:r>
        <w:rPr>
          <w:rFonts w:cs="Arial"/>
          <w:bCs/>
        </w:rPr>
        <w:t xml:space="preserve">£0.953 million budget moved from 2015/16 into 2014/15 for Housing property </w:t>
      </w:r>
      <w:r w:rsidR="00375930">
        <w:rPr>
          <w:rFonts w:cs="Arial"/>
          <w:bCs/>
        </w:rPr>
        <w:t>acquisitions</w:t>
      </w:r>
    </w:p>
    <w:p w:rsidR="00375930" w:rsidRDefault="00375930" w:rsidP="00BC1A13">
      <w:pPr>
        <w:numPr>
          <w:ilvl w:val="0"/>
          <w:numId w:val="40"/>
        </w:numPr>
        <w:ind w:left="993" w:hanging="426"/>
        <w:rPr>
          <w:rFonts w:cs="Arial"/>
          <w:bCs/>
        </w:rPr>
      </w:pPr>
      <w:r>
        <w:rPr>
          <w:rFonts w:cs="Arial"/>
          <w:bCs/>
        </w:rPr>
        <w:t>£0.629 on indoor sports facilities</w:t>
      </w:r>
    </w:p>
    <w:p w:rsidR="00375930" w:rsidRDefault="00375930" w:rsidP="00BC1A13">
      <w:pPr>
        <w:numPr>
          <w:ilvl w:val="0"/>
          <w:numId w:val="40"/>
        </w:numPr>
        <w:ind w:left="993" w:hanging="426"/>
        <w:rPr>
          <w:rFonts w:cs="Arial"/>
          <w:bCs/>
        </w:rPr>
      </w:pPr>
      <w:r>
        <w:rPr>
          <w:rFonts w:cs="Arial"/>
          <w:bCs/>
        </w:rPr>
        <w:t>£0.104</w:t>
      </w:r>
      <w:r w:rsidR="001A3DD4">
        <w:rPr>
          <w:rFonts w:cs="Arial"/>
          <w:bCs/>
        </w:rPr>
        <w:t xml:space="preserve"> on Parks &amp; Cemeteries</w:t>
      </w:r>
    </w:p>
    <w:p w:rsidR="001A3DD4" w:rsidRDefault="001A3DD4" w:rsidP="00BC1A13">
      <w:pPr>
        <w:numPr>
          <w:ilvl w:val="0"/>
          <w:numId w:val="40"/>
        </w:numPr>
        <w:ind w:left="993" w:hanging="426"/>
        <w:rPr>
          <w:rFonts w:cs="Arial"/>
          <w:bCs/>
        </w:rPr>
      </w:pPr>
      <w:r>
        <w:rPr>
          <w:rFonts w:cs="Arial"/>
          <w:bCs/>
        </w:rPr>
        <w:t>£0.894 on vehicles</w:t>
      </w:r>
    </w:p>
    <w:p w:rsidR="001A3DD4" w:rsidRDefault="001A3DD4" w:rsidP="00BC1A13">
      <w:pPr>
        <w:numPr>
          <w:ilvl w:val="0"/>
          <w:numId w:val="40"/>
        </w:numPr>
        <w:ind w:left="993" w:hanging="426"/>
        <w:rPr>
          <w:rFonts w:cs="Arial"/>
          <w:bCs/>
        </w:rPr>
      </w:pPr>
      <w:r>
        <w:rPr>
          <w:rFonts w:cs="Arial"/>
          <w:bCs/>
        </w:rPr>
        <w:t>£0.586 million on car park improvements</w:t>
      </w:r>
    </w:p>
    <w:p w:rsidR="001A3DD4" w:rsidRDefault="001A3DD4" w:rsidP="00BC1A13">
      <w:pPr>
        <w:numPr>
          <w:ilvl w:val="0"/>
          <w:numId w:val="40"/>
        </w:numPr>
        <w:ind w:left="993" w:hanging="426"/>
        <w:rPr>
          <w:rFonts w:cs="Arial"/>
          <w:bCs/>
        </w:rPr>
      </w:pPr>
      <w:r>
        <w:rPr>
          <w:rFonts w:cs="Arial"/>
          <w:bCs/>
        </w:rPr>
        <w:t>£0.103 million feasibility budgets</w:t>
      </w:r>
    </w:p>
    <w:p w:rsidR="00F22C3A" w:rsidRPr="003A6F78" w:rsidRDefault="00B351A9" w:rsidP="00BC1A13">
      <w:pPr>
        <w:ind w:left="993" w:hanging="426"/>
        <w:rPr>
          <w:rFonts w:cs="Arial"/>
          <w:bCs/>
          <w:u w:val="single"/>
        </w:rPr>
      </w:pPr>
      <w:r>
        <w:rPr>
          <w:rFonts w:cs="Arial"/>
          <w:bCs/>
          <w:u w:val="single"/>
        </w:rPr>
        <w:t>A</w:t>
      </w:r>
      <w:r w:rsidRPr="00B351A9">
        <w:rPr>
          <w:rFonts w:cs="Arial"/>
          <w:bCs/>
          <w:u w:val="single"/>
        </w:rPr>
        <w:t>dditions to budgeted allocations</w:t>
      </w:r>
    </w:p>
    <w:p w:rsidR="00FC3EAD" w:rsidRDefault="00DE2438" w:rsidP="00BC1A13">
      <w:pPr>
        <w:numPr>
          <w:ilvl w:val="0"/>
          <w:numId w:val="40"/>
        </w:numPr>
        <w:ind w:left="993" w:hanging="426"/>
        <w:rPr>
          <w:rFonts w:cs="Arial"/>
          <w:bCs/>
        </w:rPr>
      </w:pPr>
      <w:r w:rsidRPr="003C7A90">
        <w:rPr>
          <w:rFonts w:cs="Arial"/>
          <w:bCs/>
        </w:rPr>
        <w:t>£0.1</w:t>
      </w:r>
      <w:r w:rsidR="00F22C3A">
        <w:rPr>
          <w:rFonts w:cs="Arial"/>
          <w:bCs/>
        </w:rPr>
        <w:t>10</w:t>
      </w:r>
      <w:r w:rsidRPr="003C7A90">
        <w:rPr>
          <w:rFonts w:cs="Arial"/>
          <w:bCs/>
        </w:rPr>
        <w:t xml:space="preserve"> million on </w:t>
      </w:r>
      <w:r w:rsidR="00F22C3A">
        <w:rPr>
          <w:rFonts w:cs="Arial"/>
          <w:bCs/>
        </w:rPr>
        <w:t>Town Hall improvements</w:t>
      </w:r>
    </w:p>
    <w:p w:rsidR="00F22C3A" w:rsidRDefault="00F22C3A" w:rsidP="00BC1A13">
      <w:pPr>
        <w:numPr>
          <w:ilvl w:val="0"/>
          <w:numId w:val="40"/>
        </w:numPr>
        <w:ind w:left="993" w:hanging="426"/>
        <w:rPr>
          <w:rFonts w:cs="Arial"/>
          <w:bCs/>
        </w:rPr>
      </w:pPr>
      <w:r>
        <w:rPr>
          <w:rFonts w:cs="Arial"/>
          <w:bCs/>
        </w:rPr>
        <w:t xml:space="preserve">£0.592 million on the purchase of St </w:t>
      </w:r>
      <w:proofErr w:type="spellStart"/>
      <w:r>
        <w:rPr>
          <w:rFonts w:cs="Arial"/>
          <w:bCs/>
        </w:rPr>
        <w:t>Aldates</w:t>
      </w:r>
      <w:proofErr w:type="spellEnd"/>
      <w:r w:rsidR="00A80D1D">
        <w:rPr>
          <w:rFonts w:cs="Arial"/>
          <w:bCs/>
        </w:rPr>
        <w:t xml:space="preserve"> Chambers</w:t>
      </w:r>
    </w:p>
    <w:p w:rsidR="00F22C3A" w:rsidRDefault="00F22C3A" w:rsidP="00BC1A13">
      <w:pPr>
        <w:numPr>
          <w:ilvl w:val="0"/>
          <w:numId w:val="40"/>
        </w:numPr>
        <w:ind w:left="993" w:hanging="426"/>
        <w:rPr>
          <w:rFonts w:cs="Arial"/>
          <w:bCs/>
        </w:rPr>
      </w:pPr>
      <w:r>
        <w:rPr>
          <w:rFonts w:cs="Arial"/>
          <w:bCs/>
        </w:rPr>
        <w:t xml:space="preserve">£0.250 million on the </w:t>
      </w:r>
      <w:r w:rsidRPr="00F22C3A">
        <w:rPr>
          <w:rFonts w:cs="Arial"/>
          <w:bCs/>
        </w:rPr>
        <w:t>Empty Homes Revolving Fund</w:t>
      </w:r>
    </w:p>
    <w:p w:rsidR="001A3DD4" w:rsidRPr="0054331F" w:rsidRDefault="001A3DD4" w:rsidP="00BC1A13">
      <w:pPr>
        <w:ind w:left="993" w:hanging="426"/>
        <w:rPr>
          <w:rFonts w:cs="Arial"/>
          <w:bCs/>
          <w:u w:val="single"/>
        </w:rPr>
      </w:pPr>
      <w:r w:rsidRPr="0054331F">
        <w:rPr>
          <w:rFonts w:cs="Arial"/>
          <w:bCs/>
          <w:u w:val="single"/>
        </w:rPr>
        <w:lastRenderedPageBreak/>
        <w:t>Housing Revenue Account</w:t>
      </w:r>
    </w:p>
    <w:p w:rsidR="00D55F96" w:rsidRPr="00D55F96" w:rsidRDefault="001A3DD4" w:rsidP="00BC1A13">
      <w:pPr>
        <w:ind w:left="993" w:hanging="426"/>
        <w:rPr>
          <w:rFonts w:cs="Arial"/>
          <w:bCs/>
          <w:u w:val="single"/>
        </w:rPr>
      </w:pPr>
      <w:r w:rsidRPr="00D55F96">
        <w:rPr>
          <w:rFonts w:cs="Arial"/>
          <w:bCs/>
          <w:u w:val="single"/>
        </w:rPr>
        <w:t>Net Slippage</w:t>
      </w:r>
    </w:p>
    <w:p w:rsidR="003A6F78" w:rsidRDefault="003A6F78" w:rsidP="00BC1A13">
      <w:pPr>
        <w:numPr>
          <w:ilvl w:val="0"/>
          <w:numId w:val="40"/>
        </w:numPr>
        <w:ind w:left="993" w:hanging="426"/>
        <w:rPr>
          <w:rFonts w:cs="Arial"/>
          <w:bCs/>
        </w:rPr>
      </w:pPr>
      <w:r>
        <w:rPr>
          <w:rFonts w:cs="Arial"/>
          <w:bCs/>
        </w:rPr>
        <w:t>£0.157 million on external contracts</w:t>
      </w:r>
    </w:p>
    <w:p w:rsidR="003A6F78" w:rsidRDefault="003A6F78" w:rsidP="00BC1A13">
      <w:pPr>
        <w:numPr>
          <w:ilvl w:val="0"/>
          <w:numId w:val="40"/>
        </w:numPr>
        <w:ind w:left="993" w:hanging="426"/>
        <w:rPr>
          <w:rFonts w:cs="Arial"/>
          <w:bCs/>
        </w:rPr>
      </w:pPr>
      <w:r>
        <w:rPr>
          <w:rFonts w:cs="Arial"/>
          <w:bCs/>
        </w:rPr>
        <w:t>£3.166 million on Rose Hill Community Centre</w:t>
      </w:r>
    </w:p>
    <w:p w:rsidR="003A6F78" w:rsidRDefault="003A6F78" w:rsidP="00BC1A13">
      <w:pPr>
        <w:numPr>
          <w:ilvl w:val="0"/>
          <w:numId w:val="40"/>
        </w:numPr>
        <w:ind w:left="993" w:hanging="426"/>
        <w:rPr>
          <w:rFonts w:cs="Arial"/>
          <w:bCs/>
        </w:rPr>
      </w:pPr>
      <w:r>
        <w:rPr>
          <w:rFonts w:cs="Arial"/>
          <w:bCs/>
        </w:rPr>
        <w:t>£1.319 million on New Build</w:t>
      </w:r>
    </w:p>
    <w:p w:rsidR="003A6F78" w:rsidRDefault="003A6F78" w:rsidP="00BC1A13">
      <w:pPr>
        <w:numPr>
          <w:ilvl w:val="0"/>
          <w:numId w:val="40"/>
        </w:numPr>
        <w:ind w:left="993" w:hanging="426"/>
        <w:rPr>
          <w:rFonts w:cs="Arial"/>
          <w:bCs/>
        </w:rPr>
      </w:pPr>
      <w:r>
        <w:rPr>
          <w:rFonts w:cs="Arial"/>
          <w:bCs/>
        </w:rPr>
        <w:t>£0.328 million on Great estates estate enhancement</w:t>
      </w:r>
    </w:p>
    <w:p w:rsidR="003A6F78" w:rsidRDefault="003A6F78" w:rsidP="00BC1A13">
      <w:pPr>
        <w:numPr>
          <w:ilvl w:val="0"/>
          <w:numId w:val="40"/>
        </w:numPr>
        <w:ind w:left="993" w:hanging="426"/>
        <w:rPr>
          <w:rFonts w:cs="Arial"/>
          <w:bCs/>
        </w:rPr>
      </w:pPr>
      <w:r>
        <w:rPr>
          <w:rFonts w:cs="Arial"/>
          <w:bCs/>
        </w:rPr>
        <w:t>£0.722 million on internal contracts</w:t>
      </w:r>
    </w:p>
    <w:p w:rsidR="00131B25" w:rsidRDefault="004714AC" w:rsidP="00BC1A13">
      <w:pPr>
        <w:ind w:left="567"/>
        <w:rPr>
          <w:rFonts w:cs="Arial"/>
          <w:bCs/>
        </w:rPr>
      </w:pPr>
      <w:r>
        <w:rPr>
          <w:rFonts w:cs="Arial"/>
          <w:bCs/>
        </w:rPr>
        <w:t xml:space="preserve">In addition to the above, the Council </w:t>
      </w:r>
      <w:r w:rsidRPr="006B5656">
        <w:rPr>
          <w:rFonts w:cs="Arial"/>
          <w:bCs/>
        </w:rPr>
        <w:t xml:space="preserve">took a proactive decision to use capital receipts </w:t>
      </w:r>
      <w:r w:rsidR="002B641E">
        <w:rPr>
          <w:rFonts w:cs="Arial"/>
          <w:bCs/>
        </w:rPr>
        <w:t xml:space="preserve">in financing the General Fund </w:t>
      </w:r>
      <w:r w:rsidR="00351567">
        <w:rPr>
          <w:rFonts w:cs="Arial"/>
          <w:bCs/>
        </w:rPr>
        <w:t>C</w:t>
      </w:r>
      <w:r w:rsidR="002B641E">
        <w:rPr>
          <w:rFonts w:cs="Arial"/>
          <w:bCs/>
        </w:rPr>
        <w:t xml:space="preserve">apital </w:t>
      </w:r>
      <w:r w:rsidR="00351567">
        <w:rPr>
          <w:rFonts w:cs="Arial"/>
          <w:bCs/>
        </w:rPr>
        <w:t>P</w:t>
      </w:r>
      <w:r w:rsidR="002B641E">
        <w:rPr>
          <w:rFonts w:cs="Arial"/>
          <w:bCs/>
        </w:rPr>
        <w:t xml:space="preserve">rogramme </w:t>
      </w:r>
      <w:r w:rsidRPr="006B5656">
        <w:rPr>
          <w:rFonts w:cs="Arial"/>
          <w:bCs/>
        </w:rPr>
        <w:t>inst</w:t>
      </w:r>
      <w:r>
        <w:rPr>
          <w:rFonts w:cs="Arial"/>
          <w:bCs/>
        </w:rPr>
        <w:t>e</w:t>
      </w:r>
      <w:r w:rsidRPr="006B5656">
        <w:rPr>
          <w:rFonts w:cs="Arial"/>
          <w:bCs/>
        </w:rPr>
        <w:t>ad of borrowing to f</w:t>
      </w:r>
      <w:r>
        <w:rPr>
          <w:rFonts w:cs="Arial"/>
          <w:bCs/>
        </w:rPr>
        <w:t>inance</w:t>
      </w:r>
      <w:r w:rsidRPr="006B5656">
        <w:rPr>
          <w:rFonts w:cs="Arial"/>
          <w:bCs/>
        </w:rPr>
        <w:t xml:space="preserve"> vehicles</w:t>
      </w:r>
      <w:r>
        <w:rPr>
          <w:rFonts w:cs="Arial"/>
          <w:bCs/>
        </w:rPr>
        <w:t xml:space="preserve"> capital expenditure</w:t>
      </w:r>
    </w:p>
    <w:p w:rsidR="0054331F" w:rsidRDefault="0054331F" w:rsidP="00A06591">
      <w:pPr>
        <w:ind w:left="360"/>
        <w:rPr>
          <w:rFonts w:cs="Arial"/>
          <w:bCs/>
        </w:rPr>
      </w:pPr>
    </w:p>
    <w:p w:rsidR="0073174C" w:rsidRPr="003F55A6" w:rsidRDefault="0073174C" w:rsidP="004E160A">
      <w:pPr>
        <w:rPr>
          <w:b/>
        </w:rPr>
      </w:pPr>
      <w:r w:rsidRPr="003F55A6">
        <w:rPr>
          <w:b/>
        </w:rPr>
        <w:t>The Council’s Overall Borrowing Need</w:t>
      </w:r>
    </w:p>
    <w:p w:rsidR="0073174C" w:rsidRPr="003F55A6" w:rsidRDefault="0073174C" w:rsidP="00BC1A13">
      <w:pPr>
        <w:numPr>
          <w:ilvl w:val="0"/>
          <w:numId w:val="3"/>
        </w:numPr>
        <w:ind w:hanging="502"/>
      </w:pPr>
      <w:r w:rsidRPr="003F55A6">
        <w:t xml:space="preserve">The </w:t>
      </w:r>
      <w:r w:rsidR="00A17C6F" w:rsidRPr="003F55A6">
        <w:t xml:space="preserve">Council’s </w:t>
      </w:r>
      <w:r w:rsidRPr="003F55A6">
        <w:t>underlying need to borrow</w:t>
      </w:r>
      <w:r w:rsidR="00131B25">
        <w:t xml:space="preserve">, </w:t>
      </w:r>
      <w:r w:rsidR="00E67E79">
        <w:t xml:space="preserve">or </w:t>
      </w:r>
      <w:r w:rsidRPr="003F55A6">
        <w:t xml:space="preserve">Capital Financing Requirement </w:t>
      </w:r>
      <w:r w:rsidR="00CD255E" w:rsidRPr="003F55A6">
        <w:t>(</w:t>
      </w:r>
      <w:r w:rsidRPr="003F55A6">
        <w:t>CFR)</w:t>
      </w:r>
      <w:r w:rsidR="00131B25">
        <w:t>,</w:t>
      </w:r>
      <w:r w:rsidRPr="003F55A6">
        <w:t xml:space="preserve"> is a gauge of the Council’s level of indebtedness.  It represents all prior years’ net capital expenditure which has not been financed by other means (revenue, capital receipts, grants </w:t>
      </w:r>
      <w:r w:rsidR="00B85B15" w:rsidRPr="003F55A6">
        <w:t>etc.</w:t>
      </w:r>
      <w:r w:rsidRPr="003F55A6">
        <w:t>).</w:t>
      </w:r>
    </w:p>
    <w:p w:rsidR="0073174C" w:rsidRPr="003F55A6" w:rsidRDefault="0073174C" w:rsidP="004E160A">
      <w:pPr>
        <w:ind w:left="360"/>
      </w:pPr>
    </w:p>
    <w:p w:rsidR="0073174C" w:rsidRPr="003F55A6" w:rsidRDefault="0073174C" w:rsidP="00BC1A13">
      <w:pPr>
        <w:numPr>
          <w:ilvl w:val="0"/>
          <w:numId w:val="3"/>
        </w:numPr>
        <w:ind w:hanging="502"/>
      </w:pPr>
      <w:r w:rsidRPr="003F55A6">
        <w:t>The CFR can be reduced by:</w:t>
      </w:r>
    </w:p>
    <w:p w:rsidR="0073174C" w:rsidRPr="003F55A6" w:rsidRDefault="0073174C" w:rsidP="00BC1A13">
      <w:pPr>
        <w:numPr>
          <w:ilvl w:val="1"/>
          <w:numId w:val="3"/>
        </w:numPr>
        <w:ind w:hanging="502"/>
      </w:pPr>
      <w:r w:rsidRPr="003F55A6">
        <w:t>The application of additional capital resources, such as unapplied capital receipts; or</w:t>
      </w:r>
    </w:p>
    <w:p w:rsidR="0073174C" w:rsidRPr="003F55A6" w:rsidRDefault="0073174C" w:rsidP="00BC1A13">
      <w:pPr>
        <w:numPr>
          <w:ilvl w:val="1"/>
          <w:numId w:val="3"/>
        </w:numPr>
        <w:ind w:hanging="502"/>
      </w:pPr>
      <w:r w:rsidRPr="003F55A6">
        <w:t xml:space="preserve">By </w:t>
      </w:r>
      <w:r w:rsidR="00131B25">
        <w:t>charg</w:t>
      </w:r>
      <w:r w:rsidR="00131B25" w:rsidRPr="003F55A6">
        <w:t xml:space="preserve">ing </w:t>
      </w:r>
      <w:r w:rsidRPr="003F55A6">
        <w:t xml:space="preserve">a </w:t>
      </w:r>
      <w:r w:rsidR="00E67E79">
        <w:t>M</w:t>
      </w:r>
      <w:r w:rsidR="00281820">
        <w:t xml:space="preserve">inimum </w:t>
      </w:r>
      <w:r w:rsidR="00E67E79">
        <w:t>R</w:t>
      </w:r>
      <w:r w:rsidR="00652F84">
        <w:t>evenue</w:t>
      </w:r>
      <w:r w:rsidR="00281820">
        <w:t xml:space="preserve"> </w:t>
      </w:r>
      <w:r w:rsidR="00E67E79">
        <w:t>P</w:t>
      </w:r>
      <w:r w:rsidR="00281820">
        <w:t>rovision (MRP</w:t>
      </w:r>
      <w:r w:rsidR="00E67E79">
        <w:t>)</w:t>
      </w:r>
      <w:r w:rsidR="00281820">
        <w:t xml:space="preserve">, or a </w:t>
      </w:r>
      <w:r w:rsidR="00E67E79">
        <w:t>V</w:t>
      </w:r>
      <w:r w:rsidRPr="003F55A6">
        <w:t xml:space="preserve">oluntary </w:t>
      </w:r>
      <w:r w:rsidR="003160AE">
        <w:t>R</w:t>
      </w:r>
      <w:r w:rsidRPr="003F55A6">
        <w:t xml:space="preserve">evenue </w:t>
      </w:r>
      <w:r w:rsidR="003160AE">
        <w:t>P</w:t>
      </w:r>
      <w:r w:rsidRPr="003F55A6">
        <w:t xml:space="preserve">rovision (VRP) </w:t>
      </w:r>
    </w:p>
    <w:p w:rsidR="00F72947" w:rsidRPr="003F55A6" w:rsidRDefault="00F72947" w:rsidP="00BC1A13">
      <w:pPr>
        <w:pStyle w:val="ListParagraph"/>
        <w:ind w:left="0" w:hanging="502"/>
        <w:jc w:val="both"/>
      </w:pPr>
    </w:p>
    <w:p w:rsidR="004E160A" w:rsidRDefault="004E160A" w:rsidP="00BC1A13">
      <w:pPr>
        <w:numPr>
          <w:ilvl w:val="0"/>
          <w:numId w:val="3"/>
        </w:numPr>
        <w:ind w:hanging="502"/>
      </w:pPr>
      <w:r>
        <w:t>T</w:t>
      </w:r>
      <w:r w:rsidR="0073174C" w:rsidRPr="003F55A6">
        <w:t>able 2 below shows the Council’s CFR as at the 31</w:t>
      </w:r>
      <w:r w:rsidR="0073174C" w:rsidRPr="003F55A6">
        <w:rPr>
          <w:vertAlign w:val="superscript"/>
        </w:rPr>
        <w:t>st</w:t>
      </w:r>
      <w:r w:rsidR="0073174C" w:rsidRPr="003F55A6">
        <w:t xml:space="preserve"> March 201</w:t>
      </w:r>
      <w:r w:rsidR="0098278E">
        <w:t>5</w:t>
      </w:r>
      <w:r w:rsidR="0073174C" w:rsidRPr="003F55A6">
        <w:t>, this is a key prudential indicator</w:t>
      </w:r>
      <w:r w:rsidR="00F42EA6" w:rsidRPr="003F55A6">
        <w:t xml:space="preserve">, and shows that actual borrowing is below </w:t>
      </w:r>
      <w:r w:rsidR="003160AE">
        <w:t>the</w:t>
      </w:r>
      <w:r w:rsidR="00F42EA6" w:rsidRPr="003F55A6">
        <w:t xml:space="preserve"> CFR</w:t>
      </w:r>
      <w:r w:rsidR="0073174C" w:rsidRPr="003F55A6">
        <w:t>:</w:t>
      </w:r>
    </w:p>
    <w:p w:rsidR="0098278E" w:rsidRPr="00AA6F7F" w:rsidRDefault="0098278E" w:rsidP="0007756E">
      <w:pPr>
        <w:ind w:left="502"/>
      </w:pPr>
    </w:p>
    <w:p w:rsidR="0073174C" w:rsidRPr="00AA6F7F" w:rsidRDefault="00281820" w:rsidP="0073174C">
      <w:pPr>
        <w:rPr>
          <w:b/>
        </w:rPr>
      </w:pPr>
      <w:r w:rsidRPr="00AA6F7F">
        <w:rPr>
          <w:b/>
        </w:rPr>
        <w:t>Table 2</w:t>
      </w:r>
    </w:p>
    <w:tbl>
      <w:tblPr>
        <w:tblW w:w="7480" w:type="dxa"/>
        <w:tblInd w:w="720" w:type="dxa"/>
        <w:tblLook w:val="04A0" w:firstRow="1" w:lastRow="0" w:firstColumn="1" w:lastColumn="0" w:noHBand="0" w:noVBand="1"/>
      </w:tblPr>
      <w:tblGrid>
        <w:gridCol w:w="3220"/>
        <w:gridCol w:w="1420"/>
        <w:gridCol w:w="1420"/>
        <w:gridCol w:w="1420"/>
      </w:tblGrid>
      <w:tr w:rsidR="00131B25" w:rsidRPr="00AA6F7F" w:rsidTr="00BC1A13">
        <w:trPr>
          <w:trHeight w:val="6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31B25" w:rsidRPr="00AA6F7F" w:rsidRDefault="00131B25" w:rsidP="00F72947">
            <w:pPr>
              <w:rPr>
                <w:rFonts w:cs="Arial"/>
                <w:b/>
                <w:bCs/>
                <w:sz w:val="22"/>
                <w:szCs w:val="22"/>
                <w:lang w:eastAsia="en-GB"/>
              </w:rPr>
            </w:pPr>
            <w:r w:rsidRPr="00AA6F7F">
              <w:rPr>
                <w:rFonts w:cs="Arial"/>
                <w:b/>
                <w:bCs/>
                <w:sz w:val="22"/>
                <w:szCs w:val="22"/>
                <w:lang w:eastAsia="en-GB"/>
              </w:rPr>
              <w:t>CFR</w:t>
            </w:r>
          </w:p>
        </w:tc>
        <w:tc>
          <w:tcPr>
            <w:tcW w:w="1420" w:type="dxa"/>
            <w:tcBorders>
              <w:top w:val="single" w:sz="4" w:space="0" w:color="auto"/>
              <w:left w:val="single" w:sz="4" w:space="0" w:color="auto"/>
              <w:bottom w:val="nil"/>
              <w:right w:val="single" w:sz="4" w:space="0" w:color="auto"/>
            </w:tcBorders>
            <w:shd w:val="clear" w:color="000000" w:fill="D9D9D9"/>
            <w:vAlign w:val="bottom"/>
            <w:hideMark/>
          </w:tcPr>
          <w:p w:rsidR="00131B25" w:rsidRPr="00AA6F7F" w:rsidRDefault="00131B25" w:rsidP="00B56655">
            <w:pPr>
              <w:jc w:val="center"/>
              <w:rPr>
                <w:rFonts w:cs="Arial"/>
                <w:b/>
                <w:bCs/>
                <w:sz w:val="22"/>
                <w:szCs w:val="22"/>
                <w:lang w:eastAsia="en-GB"/>
              </w:rPr>
            </w:pPr>
            <w:r w:rsidRPr="00AA6F7F">
              <w:rPr>
                <w:rFonts w:cs="Arial"/>
                <w:b/>
                <w:bCs/>
                <w:sz w:val="22"/>
                <w:szCs w:val="22"/>
                <w:lang w:eastAsia="en-GB"/>
              </w:rPr>
              <w:t>31st March 2015</w:t>
            </w:r>
          </w:p>
        </w:tc>
        <w:tc>
          <w:tcPr>
            <w:tcW w:w="1420" w:type="dxa"/>
            <w:tcBorders>
              <w:top w:val="single" w:sz="4" w:space="0" w:color="auto"/>
              <w:left w:val="nil"/>
              <w:bottom w:val="nil"/>
              <w:right w:val="single" w:sz="4" w:space="0" w:color="auto"/>
            </w:tcBorders>
            <w:shd w:val="clear" w:color="000000" w:fill="D9D9D9"/>
            <w:vAlign w:val="bottom"/>
            <w:hideMark/>
          </w:tcPr>
          <w:p w:rsidR="00131B25" w:rsidRPr="00AA6F7F" w:rsidRDefault="00131B25" w:rsidP="00B56655">
            <w:pPr>
              <w:jc w:val="center"/>
              <w:rPr>
                <w:rFonts w:cs="Arial"/>
                <w:b/>
                <w:bCs/>
                <w:sz w:val="22"/>
                <w:szCs w:val="22"/>
                <w:lang w:eastAsia="en-GB"/>
              </w:rPr>
            </w:pPr>
            <w:r w:rsidRPr="00AA6F7F">
              <w:rPr>
                <w:rFonts w:cs="Arial"/>
                <w:b/>
                <w:bCs/>
                <w:sz w:val="22"/>
                <w:szCs w:val="22"/>
                <w:lang w:eastAsia="en-GB"/>
              </w:rPr>
              <w:t>31st March 2015</w:t>
            </w:r>
          </w:p>
        </w:tc>
        <w:tc>
          <w:tcPr>
            <w:tcW w:w="1420" w:type="dxa"/>
            <w:tcBorders>
              <w:top w:val="single" w:sz="4" w:space="0" w:color="auto"/>
              <w:left w:val="nil"/>
              <w:bottom w:val="nil"/>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Variation</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31B25" w:rsidRPr="00AA6F7F" w:rsidRDefault="00131B25" w:rsidP="00F72947">
            <w:pPr>
              <w:rPr>
                <w:rFonts w:cs="Arial"/>
                <w:b/>
                <w:bCs/>
                <w:sz w:val="22"/>
                <w:szCs w:val="22"/>
                <w:lang w:eastAsia="en-GB"/>
              </w:rPr>
            </w:pPr>
            <w:r w:rsidRPr="00AA6F7F">
              <w:rPr>
                <w:rFonts w:cs="Arial"/>
                <w:b/>
                <w:bCs/>
                <w:sz w:val="22"/>
                <w:szCs w:val="22"/>
                <w:lang w:eastAsia="en-GB"/>
              </w:rPr>
              <w:t> </w:t>
            </w:r>
          </w:p>
        </w:tc>
        <w:tc>
          <w:tcPr>
            <w:tcW w:w="1420" w:type="dxa"/>
            <w:tcBorders>
              <w:top w:val="nil"/>
              <w:left w:val="single" w:sz="4" w:space="0" w:color="auto"/>
              <w:bottom w:val="nil"/>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Estimate</w:t>
            </w:r>
          </w:p>
        </w:tc>
        <w:tc>
          <w:tcPr>
            <w:tcW w:w="1420" w:type="dxa"/>
            <w:tcBorders>
              <w:top w:val="nil"/>
              <w:left w:val="nil"/>
              <w:bottom w:val="nil"/>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Actual</w:t>
            </w:r>
          </w:p>
        </w:tc>
        <w:tc>
          <w:tcPr>
            <w:tcW w:w="1420" w:type="dxa"/>
            <w:tcBorders>
              <w:top w:val="nil"/>
              <w:left w:val="nil"/>
              <w:bottom w:val="nil"/>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 </w:t>
            </w:r>
          </w:p>
        </w:tc>
      </w:tr>
      <w:tr w:rsidR="00131B25" w:rsidRPr="00AA6F7F" w:rsidTr="00BC1A13">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31B25" w:rsidRPr="00AA6F7F" w:rsidRDefault="00131B25" w:rsidP="00F72947">
            <w:pPr>
              <w:rPr>
                <w:rFonts w:cs="Arial"/>
                <w:b/>
                <w:bCs/>
                <w:sz w:val="22"/>
                <w:szCs w:val="22"/>
                <w:lang w:eastAsia="en-GB"/>
              </w:rPr>
            </w:pPr>
            <w:r w:rsidRPr="00AA6F7F">
              <w:rPr>
                <w:rFonts w:cs="Arial"/>
                <w:b/>
                <w:bCs/>
                <w:sz w:val="22"/>
                <w:szCs w:val="22"/>
                <w:lang w:eastAsia="en-GB"/>
              </w:rPr>
              <w:t> </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31B25" w:rsidRPr="00AA6F7F" w:rsidRDefault="00131B25" w:rsidP="00F72947">
            <w:pPr>
              <w:jc w:val="center"/>
              <w:rPr>
                <w:rFonts w:cs="Arial"/>
                <w:b/>
                <w:bCs/>
                <w:sz w:val="22"/>
                <w:szCs w:val="22"/>
                <w:lang w:eastAsia="en-GB"/>
              </w:rPr>
            </w:pPr>
            <w:r w:rsidRPr="00AA6F7F">
              <w:rPr>
                <w:rFonts w:cs="Arial"/>
                <w:b/>
                <w:bCs/>
                <w:sz w:val="22"/>
                <w:szCs w:val="22"/>
                <w:lang w:eastAsia="en-GB"/>
              </w:rPr>
              <w:t>£'000</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31B25" w:rsidRPr="00581320" w:rsidRDefault="00131B25" w:rsidP="00F72947">
            <w:pPr>
              <w:rPr>
                <w:rFonts w:cs="Arial"/>
                <w:b/>
                <w:bCs/>
                <w:sz w:val="22"/>
                <w:szCs w:val="22"/>
                <w:lang w:eastAsia="en-GB"/>
              </w:rPr>
            </w:pPr>
            <w:r w:rsidRPr="00581320">
              <w:rPr>
                <w:rFonts w:cs="Arial"/>
                <w:b/>
                <w:bCs/>
                <w:sz w:val="22"/>
                <w:szCs w:val="22"/>
                <w:lang w:eastAsia="en-GB"/>
              </w:rPr>
              <w:t>Opening Balance</w:t>
            </w:r>
          </w:p>
        </w:tc>
        <w:tc>
          <w:tcPr>
            <w:tcW w:w="1420" w:type="dxa"/>
            <w:tcBorders>
              <w:top w:val="nil"/>
              <w:left w:val="nil"/>
              <w:bottom w:val="nil"/>
              <w:right w:val="single" w:sz="4" w:space="0" w:color="auto"/>
            </w:tcBorders>
            <w:shd w:val="clear" w:color="auto" w:fill="auto"/>
            <w:noWrap/>
            <w:vAlign w:val="bottom"/>
          </w:tcPr>
          <w:p w:rsidR="00131B25" w:rsidRPr="00151A6A" w:rsidRDefault="00131B25" w:rsidP="000C1500">
            <w:pPr>
              <w:jc w:val="right"/>
              <w:rPr>
                <w:rFonts w:cs="Arial"/>
                <w:b/>
                <w:bCs/>
                <w:sz w:val="22"/>
                <w:szCs w:val="22"/>
                <w:lang w:eastAsia="en-GB"/>
              </w:rPr>
            </w:pPr>
            <w:r w:rsidRPr="00581320">
              <w:rPr>
                <w:rFonts w:cs="Arial"/>
                <w:b/>
                <w:bCs/>
                <w:sz w:val="22"/>
                <w:szCs w:val="22"/>
                <w:lang w:eastAsia="en-GB"/>
              </w:rPr>
              <w:t>21</w:t>
            </w:r>
            <w:r w:rsidR="000C1500" w:rsidRPr="00581320">
              <w:rPr>
                <w:rFonts w:cs="Arial"/>
                <w:b/>
                <w:bCs/>
                <w:sz w:val="22"/>
                <w:szCs w:val="22"/>
                <w:lang w:eastAsia="en-GB"/>
              </w:rPr>
              <w:t>8</w:t>
            </w:r>
            <w:r w:rsidRPr="00581320">
              <w:rPr>
                <w:rFonts w:cs="Arial"/>
                <w:b/>
                <w:bCs/>
                <w:sz w:val="22"/>
                <w:szCs w:val="22"/>
                <w:lang w:eastAsia="en-GB"/>
              </w:rPr>
              <w:t>,</w:t>
            </w:r>
            <w:r w:rsidR="000C1500" w:rsidRPr="00581320">
              <w:rPr>
                <w:rFonts w:cs="Arial"/>
                <w:b/>
                <w:bCs/>
                <w:sz w:val="22"/>
                <w:szCs w:val="22"/>
                <w:lang w:eastAsia="en-GB"/>
              </w:rPr>
              <w:t>108</w:t>
            </w:r>
          </w:p>
        </w:tc>
        <w:tc>
          <w:tcPr>
            <w:tcW w:w="1420" w:type="dxa"/>
            <w:tcBorders>
              <w:top w:val="nil"/>
              <w:left w:val="nil"/>
              <w:bottom w:val="nil"/>
              <w:right w:val="single" w:sz="4" w:space="0" w:color="auto"/>
            </w:tcBorders>
            <w:shd w:val="clear" w:color="auto" w:fill="auto"/>
            <w:noWrap/>
            <w:vAlign w:val="bottom"/>
          </w:tcPr>
          <w:p w:rsidR="00131B25" w:rsidRPr="00581320" w:rsidRDefault="00131B25" w:rsidP="00F72947">
            <w:pPr>
              <w:jc w:val="right"/>
              <w:rPr>
                <w:rFonts w:cs="Arial"/>
                <w:b/>
                <w:bCs/>
                <w:sz w:val="22"/>
                <w:szCs w:val="22"/>
                <w:lang w:eastAsia="en-GB"/>
              </w:rPr>
            </w:pPr>
            <w:r w:rsidRPr="00151A6A">
              <w:rPr>
                <w:rFonts w:cs="Arial"/>
                <w:b/>
                <w:bCs/>
                <w:sz w:val="22"/>
                <w:szCs w:val="22"/>
                <w:lang w:eastAsia="en-GB"/>
              </w:rPr>
              <w:t>220,550</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0C1500">
            <w:pPr>
              <w:jc w:val="right"/>
              <w:rPr>
                <w:rFonts w:cs="Arial"/>
                <w:b/>
                <w:bCs/>
                <w:sz w:val="22"/>
                <w:szCs w:val="22"/>
                <w:lang w:eastAsia="en-GB"/>
              </w:rPr>
            </w:pPr>
            <w:r w:rsidRPr="00581320">
              <w:rPr>
                <w:rFonts w:cs="Arial"/>
                <w:b/>
                <w:bCs/>
                <w:sz w:val="22"/>
                <w:szCs w:val="22"/>
                <w:lang w:eastAsia="en-GB"/>
              </w:rPr>
              <w:t>2,</w:t>
            </w:r>
            <w:r w:rsidR="000C1500" w:rsidRPr="00581320">
              <w:rPr>
                <w:rFonts w:cs="Arial"/>
                <w:b/>
                <w:bCs/>
                <w:sz w:val="22"/>
                <w:szCs w:val="22"/>
                <w:lang w:eastAsia="en-GB"/>
              </w:rPr>
              <w:t>442</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31B25" w:rsidRPr="00AA6F7F" w:rsidRDefault="00131B25" w:rsidP="00F72947">
            <w:pPr>
              <w:rPr>
                <w:rFonts w:cs="Arial"/>
                <w:sz w:val="22"/>
                <w:szCs w:val="22"/>
                <w:lang w:eastAsia="en-GB"/>
              </w:rPr>
            </w:pPr>
            <w:r w:rsidRPr="00AA6F7F">
              <w:rPr>
                <w:rFonts w:cs="Arial"/>
                <w:sz w:val="22"/>
                <w:szCs w:val="22"/>
                <w:lang w:eastAsia="en-GB"/>
              </w:rPr>
              <w:t>Prudential Borrowing</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695D7E">
            <w:pPr>
              <w:jc w:val="right"/>
              <w:rPr>
                <w:rFonts w:cs="Arial"/>
                <w:sz w:val="22"/>
                <w:szCs w:val="22"/>
                <w:lang w:eastAsia="en-GB"/>
              </w:rPr>
            </w:pPr>
            <w:r w:rsidRPr="00AA6F7F">
              <w:rPr>
                <w:rFonts w:cs="Arial"/>
                <w:sz w:val="22"/>
                <w:szCs w:val="22"/>
                <w:lang w:eastAsia="en-GB"/>
              </w:rPr>
              <w:t>2,907</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3C7A90">
            <w:pPr>
              <w:jc w:val="right"/>
              <w:rPr>
                <w:rFonts w:cs="Arial"/>
                <w:sz w:val="22"/>
                <w:szCs w:val="22"/>
                <w:lang w:eastAsia="en-GB"/>
              </w:rPr>
            </w:pPr>
            <w:r>
              <w:rPr>
                <w:rFonts w:cs="Arial"/>
                <w:sz w:val="22"/>
                <w:szCs w:val="22"/>
                <w:lang w:eastAsia="en-GB"/>
              </w:rPr>
              <w:t>0</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E151A3">
            <w:pPr>
              <w:jc w:val="right"/>
              <w:rPr>
                <w:rFonts w:cs="Arial"/>
                <w:b/>
                <w:bCs/>
                <w:sz w:val="22"/>
                <w:szCs w:val="22"/>
                <w:lang w:eastAsia="en-GB"/>
              </w:rPr>
            </w:pPr>
            <w:r>
              <w:rPr>
                <w:rFonts w:cs="Arial"/>
                <w:b/>
                <w:bCs/>
                <w:sz w:val="22"/>
                <w:szCs w:val="22"/>
                <w:lang w:eastAsia="en-GB"/>
              </w:rPr>
              <w:t>(2,907)</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31B25" w:rsidRPr="00AA6F7F" w:rsidRDefault="00131B25" w:rsidP="00F72947">
            <w:pPr>
              <w:rPr>
                <w:rFonts w:cs="Arial"/>
                <w:sz w:val="22"/>
                <w:szCs w:val="22"/>
                <w:lang w:eastAsia="en-GB"/>
              </w:rPr>
            </w:pPr>
            <w:r w:rsidRPr="00AA6F7F">
              <w:rPr>
                <w:rFonts w:cs="Arial"/>
                <w:sz w:val="22"/>
                <w:szCs w:val="22"/>
                <w:lang w:eastAsia="en-GB"/>
              </w:rPr>
              <w:t>Minimum Revenue Provision</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2A4987">
            <w:pPr>
              <w:jc w:val="right"/>
              <w:rPr>
                <w:rFonts w:cs="Arial"/>
                <w:sz w:val="22"/>
                <w:szCs w:val="22"/>
                <w:lang w:eastAsia="en-GB"/>
              </w:rPr>
            </w:pPr>
            <w:r>
              <w:rPr>
                <w:rFonts w:cs="Arial"/>
                <w:sz w:val="22"/>
                <w:szCs w:val="22"/>
                <w:lang w:eastAsia="en-GB"/>
              </w:rPr>
              <w:t>(</w:t>
            </w:r>
            <w:r w:rsidR="002A4987">
              <w:rPr>
                <w:rFonts w:cs="Arial"/>
                <w:sz w:val="22"/>
                <w:szCs w:val="22"/>
                <w:lang w:eastAsia="en-GB"/>
              </w:rPr>
              <w:t>3,064</w:t>
            </w:r>
            <w:r>
              <w:rPr>
                <w:rFonts w:cs="Arial"/>
                <w:sz w:val="22"/>
                <w:szCs w:val="22"/>
                <w:lang w:eastAsia="en-GB"/>
              </w:rPr>
              <w:t>)</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sz w:val="22"/>
                <w:szCs w:val="22"/>
                <w:lang w:eastAsia="en-GB"/>
              </w:rPr>
            </w:pPr>
            <w:r>
              <w:rPr>
                <w:rFonts w:cs="Arial"/>
                <w:sz w:val="22"/>
                <w:szCs w:val="22"/>
                <w:lang w:eastAsia="en-GB"/>
              </w:rPr>
              <w:t>0</w:t>
            </w:r>
          </w:p>
        </w:tc>
        <w:tc>
          <w:tcPr>
            <w:tcW w:w="1420" w:type="dxa"/>
            <w:tcBorders>
              <w:top w:val="nil"/>
              <w:left w:val="nil"/>
              <w:bottom w:val="nil"/>
              <w:right w:val="single" w:sz="4" w:space="0" w:color="auto"/>
            </w:tcBorders>
            <w:shd w:val="clear" w:color="auto" w:fill="auto"/>
            <w:noWrap/>
            <w:vAlign w:val="bottom"/>
          </w:tcPr>
          <w:p w:rsidR="00131B25" w:rsidRPr="00AA6F7F" w:rsidRDefault="00E61559" w:rsidP="00EF0B5B">
            <w:pPr>
              <w:jc w:val="right"/>
              <w:rPr>
                <w:rFonts w:cs="Arial"/>
                <w:b/>
                <w:bCs/>
                <w:sz w:val="22"/>
                <w:szCs w:val="22"/>
                <w:lang w:eastAsia="en-GB"/>
              </w:rPr>
            </w:pPr>
            <w:r>
              <w:rPr>
                <w:rFonts w:cs="Arial"/>
                <w:b/>
                <w:bCs/>
                <w:sz w:val="22"/>
                <w:szCs w:val="22"/>
                <w:lang w:eastAsia="en-GB"/>
              </w:rPr>
              <w:t>3,064</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tcPr>
          <w:p w:rsidR="00131B25" w:rsidRPr="00AA6F7F" w:rsidRDefault="00131B25" w:rsidP="00F72947">
            <w:pPr>
              <w:rPr>
                <w:rFonts w:cs="Arial"/>
                <w:sz w:val="22"/>
                <w:szCs w:val="22"/>
                <w:lang w:eastAsia="en-GB"/>
              </w:rPr>
            </w:pPr>
            <w:r>
              <w:rPr>
                <w:rFonts w:cs="Arial"/>
                <w:sz w:val="22"/>
                <w:szCs w:val="22"/>
                <w:lang w:eastAsia="en-GB"/>
              </w:rPr>
              <w:t>Leases Adjustment</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sz w:val="22"/>
                <w:szCs w:val="22"/>
                <w:lang w:eastAsia="en-GB"/>
              </w:rPr>
            </w:pPr>
            <w:r>
              <w:rPr>
                <w:rFonts w:cs="Arial"/>
                <w:sz w:val="22"/>
                <w:szCs w:val="22"/>
                <w:lang w:eastAsia="en-GB"/>
              </w:rPr>
              <w:t>0</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sz w:val="22"/>
                <w:szCs w:val="22"/>
                <w:lang w:eastAsia="en-GB"/>
              </w:rPr>
            </w:pPr>
            <w:r>
              <w:rPr>
                <w:rFonts w:cs="Arial"/>
                <w:sz w:val="22"/>
                <w:szCs w:val="22"/>
                <w:lang w:eastAsia="en-GB"/>
              </w:rPr>
              <w:t>(19,909)</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b/>
                <w:bCs/>
                <w:sz w:val="22"/>
                <w:szCs w:val="22"/>
                <w:lang w:eastAsia="en-GB"/>
              </w:rPr>
            </w:pPr>
            <w:r>
              <w:rPr>
                <w:rFonts w:cs="Arial"/>
                <w:b/>
                <w:bCs/>
                <w:sz w:val="22"/>
                <w:szCs w:val="22"/>
                <w:lang w:eastAsia="en-GB"/>
              </w:rPr>
              <w:t>(19,909)</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31B25" w:rsidRPr="00AA6F7F" w:rsidRDefault="00131B25" w:rsidP="00F72947">
            <w:pPr>
              <w:rPr>
                <w:rFonts w:cs="Arial"/>
                <w:sz w:val="22"/>
                <w:szCs w:val="22"/>
                <w:lang w:eastAsia="en-GB"/>
              </w:rPr>
            </w:pP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sz w:val="22"/>
                <w:szCs w:val="22"/>
                <w:lang w:eastAsia="en-GB"/>
              </w:rPr>
            </w:pP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sz w:val="22"/>
                <w:szCs w:val="22"/>
                <w:lang w:eastAsia="en-GB"/>
              </w:rPr>
            </w:pP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F72947">
            <w:pPr>
              <w:jc w:val="right"/>
              <w:rPr>
                <w:rFonts w:cs="Arial"/>
                <w:b/>
                <w:bCs/>
                <w:sz w:val="22"/>
                <w:szCs w:val="22"/>
                <w:lang w:eastAsia="en-GB"/>
              </w:rPr>
            </w:pP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31B25" w:rsidRPr="00581320" w:rsidRDefault="00131B25" w:rsidP="00F72947">
            <w:pPr>
              <w:rPr>
                <w:rFonts w:cs="Arial"/>
                <w:b/>
                <w:bCs/>
                <w:sz w:val="22"/>
                <w:szCs w:val="22"/>
                <w:lang w:eastAsia="en-GB"/>
              </w:rPr>
            </w:pPr>
            <w:r w:rsidRPr="00581320">
              <w:rPr>
                <w:rFonts w:cs="Arial"/>
                <w:b/>
                <w:bCs/>
                <w:sz w:val="22"/>
                <w:szCs w:val="22"/>
                <w:lang w:eastAsia="en-GB"/>
              </w:rPr>
              <w:t>CFR Closing Balance</w:t>
            </w:r>
          </w:p>
        </w:tc>
        <w:tc>
          <w:tcPr>
            <w:tcW w:w="1420" w:type="dxa"/>
            <w:tcBorders>
              <w:top w:val="nil"/>
              <w:left w:val="nil"/>
              <w:bottom w:val="nil"/>
              <w:right w:val="single" w:sz="4" w:space="0" w:color="auto"/>
            </w:tcBorders>
            <w:shd w:val="clear" w:color="auto" w:fill="auto"/>
            <w:noWrap/>
            <w:vAlign w:val="bottom"/>
          </w:tcPr>
          <w:p w:rsidR="00131B25" w:rsidRPr="00151A6A" w:rsidRDefault="002A4987" w:rsidP="002A4987">
            <w:pPr>
              <w:jc w:val="right"/>
              <w:rPr>
                <w:rFonts w:cs="Arial"/>
                <w:b/>
                <w:bCs/>
                <w:sz w:val="22"/>
                <w:szCs w:val="22"/>
                <w:lang w:eastAsia="en-GB"/>
              </w:rPr>
            </w:pPr>
            <w:r w:rsidRPr="00151A6A">
              <w:rPr>
                <w:rFonts w:cs="Arial"/>
                <w:b/>
                <w:bCs/>
                <w:sz w:val="22"/>
                <w:szCs w:val="22"/>
                <w:lang w:eastAsia="en-GB"/>
              </w:rPr>
              <w:t>217</w:t>
            </w:r>
            <w:r w:rsidR="00131B25" w:rsidRPr="00151A6A">
              <w:rPr>
                <w:rFonts w:cs="Arial"/>
                <w:b/>
                <w:bCs/>
                <w:sz w:val="22"/>
                <w:szCs w:val="22"/>
                <w:lang w:eastAsia="en-GB"/>
              </w:rPr>
              <w:t>,9</w:t>
            </w:r>
            <w:r w:rsidRPr="00151A6A">
              <w:rPr>
                <w:rFonts w:cs="Arial"/>
                <w:b/>
                <w:bCs/>
                <w:sz w:val="22"/>
                <w:szCs w:val="22"/>
                <w:lang w:eastAsia="en-GB"/>
              </w:rPr>
              <w:t>51</w:t>
            </w:r>
          </w:p>
        </w:tc>
        <w:tc>
          <w:tcPr>
            <w:tcW w:w="1420" w:type="dxa"/>
            <w:tcBorders>
              <w:top w:val="nil"/>
              <w:left w:val="nil"/>
              <w:bottom w:val="nil"/>
              <w:right w:val="single" w:sz="4" w:space="0" w:color="auto"/>
            </w:tcBorders>
            <w:shd w:val="clear" w:color="auto" w:fill="auto"/>
            <w:noWrap/>
            <w:vAlign w:val="bottom"/>
          </w:tcPr>
          <w:p w:rsidR="00131B25" w:rsidRPr="00151A6A" w:rsidRDefault="00131B25" w:rsidP="00916B28">
            <w:pPr>
              <w:jc w:val="right"/>
              <w:rPr>
                <w:rFonts w:cs="Arial"/>
                <w:b/>
                <w:bCs/>
                <w:sz w:val="22"/>
                <w:szCs w:val="22"/>
                <w:lang w:eastAsia="en-GB"/>
              </w:rPr>
            </w:pPr>
            <w:r w:rsidRPr="00151A6A">
              <w:rPr>
                <w:rFonts w:cs="Arial"/>
                <w:b/>
                <w:bCs/>
                <w:sz w:val="22"/>
                <w:szCs w:val="22"/>
                <w:lang w:eastAsia="en-GB"/>
              </w:rPr>
              <w:t>200,641</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E61559">
            <w:pPr>
              <w:jc w:val="right"/>
              <w:rPr>
                <w:rFonts w:cs="Arial"/>
                <w:b/>
                <w:bCs/>
                <w:sz w:val="22"/>
                <w:szCs w:val="22"/>
                <w:lang w:eastAsia="en-GB"/>
              </w:rPr>
            </w:pPr>
            <w:r w:rsidRPr="00151A6A">
              <w:rPr>
                <w:rFonts w:cs="Arial"/>
                <w:b/>
                <w:bCs/>
                <w:sz w:val="22"/>
                <w:szCs w:val="22"/>
                <w:lang w:eastAsia="en-GB"/>
              </w:rPr>
              <w:t>(</w:t>
            </w:r>
            <w:r w:rsidR="00E61559" w:rsidRPr="00151A6A">
              <w:rPr>
                <w:rFonts w:cs="Arial"/>
                <w:b/>
                <w:bCs/>
                <w:sz w:val="22"/>
                <w:szCs w:val="22"/>
                <w:lang w:eastAsia="en-GB"/>
              </w:rPr>
              <w:t>17</w:t>
            </w:r>
            <w:r w:rsidRPr="00151A6A">
              <w:rPr>
                <w:rFonts w:cs="Arial"/>
                <w:b/>
                <w:bCs/>
                <w:sz w:val="22"/>
                <w:szCs w:val="22"/>
                <w:lang w:eastAsia="en-GB"/>
              </w:rPr>
              <w:t>,</w:t>
            </w:r>
            <w:r w:rsidR="00E61559" w:rsidRPr="00151A6A">
              <w:rPr>
                <w:rFonts w:cs="Arial"/>
                <w:b/>
                <w:bCs/>
                <w:sz w:val="22"/>
                <w:szCs w:val="22"/>
                <w:lang w:eastAsia="en-GB"/>
              </w:rPr>
              <w:t>310</w:t>
            </w:r>
            <w:r w:rsidRPr="00151A6A">
              <w:rPr>
                <w:rFonts w:cs="Arial"/>
                <w:b/>
                <w:bCs/>
                <w:sz w:val="22"/>
                <w:szCs w:val="22"/>
                <w:lang w:eastAsia="en-GB"/>
              </w:rPr>
              <w:t>)</w:t>
            </w:r>
          </w:p>
        </w:tc>
      </w:tr>
      <w:tr w:rsidR="00131B25" w:rsidRPr="00AA6F7F" w:rsidTr="00BC1A13">
        <w:trPr>
          <w:trHeight w:val="300"/>
        </w:trPr>
        <w:tc>
          <w:tcPr>
            <w:tcW w:w="3220" w:type="dxa"/>
            <w:tcBorders>
              <w:top w:val="nil"/>
              <w:left w:val="single" w:sz="4" w:space="0" w:color="auto"/>
              <w:bottom w:val="nil"/>
              <w:right w:val="single" w:sz="4" w:space="0" w:color="auto"/>
            </w:tcBorders>
            <w:shd w:val="clear" w:color="auto" w:fill="auto"/>
            <w:noWrap/>
            <w:vAlign w:val="bottom"/>
          </w:tcPr>
          <w:p w:rsidR="00131B25" w:rsidRPr="00AA6F7F" w:rsidRDefault="00131B25" w:rsidP="00F72947">
            <w:pPr>
              <w:rPr>
                <w:rFonts w:cs="Arial"/>
                <w:b/>
                <w:bCs/>
                <w:sz w:val="22"/>
                <w:szCs w:val="22"/>
                <w:lang w:eastAsia="en-GB"/>
              </w:rPr>
            </w:pPr>
            <w:r w:rsidRPr="00AA6F7F">
              <w:rPr>
                <w:rFonts w:cs="Arial"/>
                <w:b/>
                <w:bCs/>
                <w:sz w:val="22"/>
                <w:szCs w:val="22"/>
                <w:lang w:eastAsia="en-GB"/>
              </w:rPr>
              <w:t>External Borrowing</w:t>
            </w:r>
          </w:p>
        </w:tc>
        <w:tc>
          <w:tcPr>
            <w:tcW w:w="1420" w:type="dxa"/>
            <w:tcBorders>
              <w:top w:val="nil"/>
              <w:left w:val="nil"/>
              <w:bottom w:val="nil"/>
              <w:right w:val="single" w:sz="4" w:space="0" w:color="auto"/>
            </w:tcBorders>
            <w:shd w:val="clear" w:color="auto" w:fill="auto"/>
            <w:noWrap/>
            <w:vAlign w:val="bottom"/>
          </w:tcPr>
          <w:p w:rsidR="00131B25" w:rsidRPr="00AA6F7F" w:rsidRDefault="00E61559" w:rsidP="00E61559">
            <w:pPr>
              <w:jc w:val="right"/>
              <w:rPr>
                <w:rFonts w:cs="Arial"/>
                <w:b/>
                <w:bCs/>
                <w:sz w:val="22"/>
                <w:szCs w:val="22"/>
                <w:lang w:eastAsia="en-GB"/>
              </w:rPr>
            </w:pPr>
            <w:r w:rsidRPr="00AA6F7F">
              <w:rPr>
                <w:rFonts w:cs="Arial"/>
                <w:b/>
                <w:bCs/>
                <w:sz w:val="22"/>
                <w:szCs w:val="22"/>
                <w:lang w:eastAsia="en-GB"/>
              </w:rPr>
              <w:t>2</w:t>
            </w:r>
            <w:r>
              <w:rPr>
                <w:rFonts w:cs="Arial"/>
                <w:b/>
                <w:bCs/>
                <w:sz w:val="22"/>
                <w:szCs w:val="22"/>
                <w:lang w:eastAsia="en-GB"/>
              </w:rPr>
              <w:t>00</w:t>
            </w:r>
            <w:r w:rsidR="00131B25" w:rsidRPr="00AA6F7F">
              <w:rPr>
                <w:rFonts w:cs="Arial"/>
                <w:b/>
                <w:bCs/>
                <w:sz w:val="22"/>
                <w:szCs w:val="22"/>
                <w:lang w:eastAsia="en-GB"/>
              </w:rPr>
              <w:t>,</w:t>
            </w:r>
            <w:r>
              <w:rPr>
                <w:rFonts w:cs="Arial"/>
                <w:b/>
                <w:bCs/>
                <w:sz w:val="22"/>
                <w:szCs w:val="22"/>
                <w:lang w:eastAsia="en-GB"/>
              </w:rPr>
              <w:t>638</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916B28">
            <w:pPr>
              <w:jc w:val="right"/>
              <w:rPr>
                <w:rFonts w:cs="Arial"/>
                <w:b/>
                <w:bCs/>
                <w:sz w:val="22"/>
                <w:szCs w:val="22"/>
                <w:lang w:eastAsia="en-GB"/>
              </w:rPr>
            </w:pPr>
            <w:r w:rsidRPr="00AA6F7F">
              <w:rPr>
                <w:rFonts w:cs="Arial"/>
                <w:b/>
                <w:bCs/>
                <w:sz w:val="22"/>
                <w:szCs w:val="22"/>
                <w:lang w:eastAsia="en-GB"/>
              </w:rPr>
              <w:t>199,423</w:t>
            </w:r>
          </w:p>
        </w:tc>
        <w:tc>
          <w:tcPr>
            <w:tcW w:w="1420" w:type="dxa"/>
            <w:tcBorders>
              <w:top w:val="nil"/>
              <w:left w:val="nil"/>
              <w:bottom w:val="nil"/>
              <w:right w:val="single" w:sz="4" w:space="0" w:color="auto"/>
            </w:tcBorders>
            <w:shd w:val="clear" w:color="auto" w:fill="auto"/>
            <w:noWrap/>
            <w:vAlign w:val="bottom"/>
          </w:tcPr>
          <w:p w:rsidR="00131B25" w:rsidRPr="00AA6F7F" w:rsidRDefault="00131B25" w:rsidP="00E61559">
            <w:pPr>
              <w:jc w:val="right"/>
              <w:rPr>
                <w:rFonts w:cs="Arial"/>
                <w:b/>
                <w:bCs/>
                <w:sz w:val="22"/>
                <w:szCs w:val="22"/>
                <w:lang w:eastAsia="en-GB"/>
              </w:rPr>
            </w:pPr>
            <w:r>
              <w:rPr>
                <w:rFonts w:cs="Arial"/>
                <w:b/>
                <w:bCs/>
                <w:sz w:val="22"/>
                <w:szCs w:val="22"/>
                <w:lang w:eastAsia="en-GB"/>
              </w:rPr>
              <w:t>(</w:t>
            </w:r>
            <w:r w:rsidR="00E61559">
              <w:rPr>
                <w:rFonts w:cs="Arial"/>
                <w:b/>
                <w:bCs/>
                <w:sz w:val="22"/>
                <w:szCs w:val="22"/>
                <w:lang w:eastAsia="en-GB"/>
              </w:rPr>
              <w:t>1</w:t>
            </w:r>
            <w:r>
              <w:rPr>
                <w:rFonts w:cs="Arial"/>
                <w:b/>
                <w:bCs/>
                <w:sz w:val="22"/>
                <w:szCs w:val="22"/>
                <w:lang w:eastAsia="en-GB"/>
              </w:rPr>
              <w:t>,</w:t>
            </w:r>
            <w:r w:rsidR="00E61559">
              <w:rPr>
                <w:rFonts w:cs="Arial"/>
                <w:b/>
                <w:bCs/>
                <w:sz w:val="22"/>
                <w:szCs w:val="22"/>
                <w:lang w:eastAsia="en-GB"/>
              </w:rPr>
              <w:t>215</w:t>
            </w:r>
            <w:r>
              <w:rPr>
                <w:rFonts w:cs="Arial"/>
                <w:b/>
                <w:bCs/>
                <w:sz w:val="22"/>
                <w:szCs w:val="22"/>
                <w:lang w:eastAsia="en-GB"/>
              </w:rPr>
              <w:t>)</w:t>
            </w:r>
          </w:p>
        </w:tc>
      </w:tr>
      <w:tr w:rsidR="00131B25" w:rsidRPr="00AA6F7F" w:rsidTr="00BC1A1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131B25" w:rsidRPr="00AA6F7F" w:rsidRDefault="00131B25" w:rsidP="00F72947">
            <w:pPr>
              <w:rPr>
                <w:rFonts w:cs="Arial"/>
                <w:b/>
                <w:bCs/>
                <w:sz w:val="22"/>
                <w:szCs w:val="22"/>
                <w:lang w:eastAsia="en-GB"/>
              </w:rPr>
            </w:pPr>
            <w:r w:rsidRPr="00AA6F7F">
              <w:rPr>
                <w:rFonts w:cs="Arial"/>
                <w:b/>
                <w:bCs/>
                <w:sz w:val="22"/>
                <w:szCs w:val="22"/>
                <w:lang w:eastAsia="en-GB"/>
              </w:rPr>
              <w:t>Variation</w:t>
            </w:r>
          </w:p>
        </w:tc>
        <w:tc>
          <w:tcPr>
            <w:tcW w:w="1420" w:type="dxa"/>
            <w:tcBorders>
              <w:top w:val="nil"/>
              <w:left w:val="nil"/>
              <w:bottom w:val="single" w:sz="4" w:space="0" w:color="auto"/>
              <w:right w:val="single" w:sz="4" w:space="0" w:color="auto"/>
            </w:tcBorders>
            <w:shd w:val="clear" w:color="auto" w:fill="auto"/>
            <w:noWrap/>
            <w:vAlign w:val="bottom"/>
          </w:tcPr>
          <w:p w:rsidR="00131B25" w:rsidRPr="00AA6F7F" w:rsidRDefault="00131B25" w:rsidP="00E61559">
            <w:pPr>
              <w:jc w:val="right"/>
              <w:rPr>
                <w:rFonts w:cs="Arial"/>
                <w:b/>
                <w:bCs/>
                <w:sz w:val="22"/>
                <w:szCs w:val="22"/>
                <w:lang w:eastAsia="en-GB"/>
              </w:rPr>
            </w:pPr>
            <w:r w:rsidRPr="00AA6F7F">
              <w:rPr>
                <w:rFonts w:cs="Arial"/>
                <w:b/>
                <w:bCs/>
                <w:sz w:val="22"/>
                <w:szCs w:val="22"/>
                <w:lang w:eastAsia="en-GB"/>
              </w:rPr>
              <w:t>(</w:t>
            </w:r>
            <w:r w:rsidR="00E61559">
              <w:rPr>
                <w:rFonts w:cs="Arial"/>
                <w:b/>
                <w:bCs/>
                <w:sz w:val="22"/>
                <w:szCs w:val="22"/>
                <w:lang w:eastAsia="en-GB"/>
              </w:rPr>
              <w:t>17</w:t>
            </w:r>
            <w:r w:rsidRPr="00AA6F7F">
              <w:rPr>
                <w:rFonts w:cs="Arial"/>
                <w:b/>
                <w:bCs/>
                <w:sz w:val="22"/>
                <w:szCs w:val="22"/>
                <w:lang w:eastAsia="en-GB"/>
              </w:rPr>
              <w:t>,</w:t>
            </w:r>
            <w:r w:rsidR="00E61559">
              <w:rPr>
                <w:rFonts w:cs="Arial"/>
                <w:b/>
                <w:bCs/>
                <w:sz w:val="22"/>
                <w:szCs w:val="22"/>
                <w:lang w:eastAsia="en-GB"/>
              </w:rPr>
              <w:t>313</w:t>
            </w:r>
            <w:r w:rsidRPr="00AA6F7F">
              <w:rPr>
                <w:rFonts w:cs="Arial"/>
                <w:b/>
                <w:bCs/>
                <w:sz w:val="22"/>
                <w:szCs w:val="22"/>
                <w:lang w:eastAsia="en-GB"/>
              </w:rPr>
              <w:t>)</w:t>
            </w:r>
          </w:p>
        </w:tc>
        <w:tc>
          <w:tcPr>
            <w:tcW w:w="1420" w:type="dxa"/>
            <w:tcBorders>
              <w:top w:val="nil"/>
              <w:left w:val="nil"/>
              <w:bottom w:val="single" w:sz="4" w:space="0" w:color="auto"/>
              <w:right w:val="single" w:sz="4" w:space="0" w:color="auto"/>
            </w:tcBorders>
            <w:shd w:val="clear" w:color="auto" w:fill="auto"/>
            <w:noWrap/>
            <w:vAlign w:val="bottom"/>
          </w:tcPr>
          <w:p w:rsidR="00131B25" w:rsidRPr="00AA6F7F" w:rsidRDefault="00131B25" w:rsidP="00916B28">
            <w:pPr>
              <w:jc w:val="right"/>
              <w:rPr>
                <w:rFonts w:cs="Arial"/>
                <w:b/>
                <w:bCs/>
                <w:sz w:val="22"/>
                <w:szCs w:val="22"/>
                <w:lang w:eastAsia="en-GB"/>
              </w:rPr>
            </w:pPr>
            <w:r w:rsidRPr="00AA6F7F">
              <w:rPr>
                <w:rFonts w:cs="Arial"/>
                <w:b/>
                <w:bCs/>
                <w:sz w:val="22"/>
                <w:szCs w:val="22"/>
                <w:lang w:eastAsia="en-GB"/>
              </w:rPr>
              <w:t>1,218</w:t>
            </w:r>
          </w:p>
        </w:tc>
        <w:tc>
          <w:tcPr>
            <w:tcW w:w="1420" w:type="dxa"/>
            <w:tcBorders>
              <w:top w:val="nil"/>
              <w:left w:val="nil"/>
              <w:bottom w:val="single" w:sz="4" w:space="0" w:color="auto"/>
              <w:right w:val="single" w:sz="4" w:space="0" w:color="auto"/>
            </w:tcBorders>
            <w:shd w:val="clear" w:color="auto" w:fill="auto"/>
            <w:noWrap/>
            <w:vAlign w:val="bottom"/>
          </w:tcPr>
          <w:p w:rsidR="00131B25" w:rsidRPr="00AA6F7F" w:rsidRDefault="00131B25" w:rsidP="003C7A90">
            <w:pPr>
              <w:jc w:val="right"/>
              <w:rPr>
                <w:rFonts w:cs="Arial"/>
                <w:b/>
                <w:bCs/>
                <w:sz w:val="22"/>
                <w:szCs w:val="22"/>
                <w:lang w:eastAsia="en-GB"/>
              </w:rPr>
            </w:pPr>
          </w:p>
        </w:tc>
      </w:tr>
    </w:tbl>
    <w:p w:rsidR="0073174C" w:rsidRPr="00AA6F7F" w:rsidRDefault="0073174C" w:rsidP="0073174C"/>
    <w:p w:rsidR="00695D7E" w:rsidRDefault="00F72947" w:rsidP="00F768C0">
      <w:pPr>
        <w:ind w:left="502"/>
      </w:pPr>
      <w:r w:rsidRPr="00A06591">
        <w:t>The CFR position</w:t>
      </w:r>
      <w:r w:rsidR="004A79FD" w:rsidRPr="00A06591">
        <w:t xml:space="preserve"> </w:t>
      </w:r>
      <w:r w:rsidR="00B82572">
        <w:t xml:space="preserve">was </w:t>
      </w:r>
      <w:r w:rsidR="003C7A90" w:rsidRPr="00A06591">
        <w:t xml:space="preserve">adjusted </w:t>
      </w:r>
      <w:r w:rsidR="00B82572">
        <w:t>in 2014/15 for</w:t>
      </w:r>
      <w:r w:rsidR="003C7A90" w:rsidRPr="00A06591">
        <w:t xml:space="preserve"> the value of finance leases relating to </w:t>
      </w:r>
      <w:r w:rsidR="005C6ED5" w:rsidRPr="00A06591">
        <w:t xml:space="preserve">St </w:t>
      </w:r>
      <w:proofErr w:type="spellStart"/>
      <w:r w:rsidR="005C6ED5" w:rsidRPr="00A06591">
        <w:t>Aldates</w:t>
      </w:r>
      <w:proofErr w:type="spellEnd"/>
      <w:r w:rsidR="005C6ED5" w:rsidRPr="00A06591">
        <w:t xml:space="preserve"> and </w:t>
      </w:r>
      <w:r w:rsidR="003C7A90" w:rsidRPr="00A06591">
        <w:t>Westgate</w:t>
      </w:r>
      <w:r w:rsidR="005C6ED5" w:rsidRPr="00A06591">
        <w:t>.  On 31</w:t>
      </w:r>
      <w:r w:rsidR="005C6ED5" w:rsidRPr="00F768C0">
        <w:rPr>
          <w:vertAlign w:val="superscript"/>
        </w:rPr>
        <w:t>st</w:t>
      </w:r>
      <w:r w:rsidR="005C6ED5" w:rsidRPr="00A06591">
        <w:t xml:space="preserve"> March 2015 the Council purchased the sub lease of St </w:t>
      </w:r>
      <w:proofErr w:type="spellStart"/>
      <w:r w:rsidR="005C6ED5" w:rsidRPr="00A06591">
        <w:t>Aldates</w:t>
      </w:r>
      <w:proofErr w:type="spellEnd"/>
      <w:r w:rsidR="005C6ED5" w:rsidRPr="00A06591">
        <w:t xml:space="preserve"> Chambers for £7.5 million.  This remove</w:t>
      </w:r>
      <w:r w:rsidR="00B82572">
        <w:t>d</w:t>
      </w:r>
      <w:r w:rsidR="005C6ED5" w:rsidRPr="00A06591">
        <w:t xml:space="preserve"> the obligation on the Council to pay £</w:t>
      </w:r>
      <w:r w:rsidR="002E06AF">
        <w:t>0.3</w:t>
      </w:r>
      <w:r w:rsidR="008C5DA7">
        <w:t xml:space="preserve">00 </w:t>
      </w:r>
      <w:r w:rsidR="002E06AF">
        <w:t>million</w:t>
      </w:r>
      <w:r w:rsidR="005C6ED5" w:rsidRPr="00A06591">
        <w:t xml:space="preserve"> per annum in rent in favour of a 126</w:t>
      </w:r>
      <w:r w:rsidR="002E06AF">
        <w:t>-</w:t>
      </w:r>
      <w:r w:rsidR="005C6ED5" w:rsidRPr="00A06591">
        <w:t xml:space="preserve">year lease </w:t>
      </w:r>
      <w:r w:rsidR="00740070">
        <w:t>obligation</w:t>
      </w:r>
      <w:r w:rsidR="005C6ED5" w:rsidRPr="00A06591">
        <w:t xml:space="preserve"> of £2,500 per annum.  The Council</w:t>
      </w:r>
      <w:r w:rsidR="00740070">
        <w:t>’s</w:t>
      </w:r>
      <w:r w:rsidR="005C6ED5" w:rsidRPr="00A06591">
        <w:t xml:space="preserve"> Development Agreement (DA) with the Westgate Oxford Alliance (WOA) </w:t>
      </w:r>
      <w:r w:rsidR="00740070">
        <w:t xml:space="preserve">became </w:t>
      </w:r>
      <w:r w:rsidR="005C6ED5" w:rsidRPr="00A06591">
        <w:t>unconditional on 5</w:t>
      </w:r>
      <w:r w:rsidR="005C6ED5" w:rsidRPr="00F768C0">
        <w:rPr>
          <w:vertAlign w:val="superscript"/>
        </w:rPr>
        <w:t>th</w:t>
      </w:r>
      <w:r w:rsidR="005C6ED5" w:rsidRPr="00A06591">
        <w:t xml:space="preserve"> February 2015 at which point works on site commenced. The transaction resulted in a net </w:t>
      </w:r>
      <w:r w:rsidR="005C6ED5" w:rsidRPr="00A06591">
        <w:lastRenderedPageBreak/>
        <w:t xml:space="preserve">increase in assets of around £41.955 million, representing the difference between the old lease on the shopping centre and the new one.  </w:t>
      </w:r>
    </w:p>
    <w:p w:rsidR="002E06AF" w:rsidRDefault="002E06AF" w:rsidP="00F768C0">
      <w:pPr>
        <w:ind w:left="502"/>
      </w:pPr>
    </w:p>
    <w:p w:rsidR="000F18C8" w:rsidRPr="00645740" w:rsidRDefault="000F18C8" w:rsidP="00BC1A13">
      <w:pPr>
        <w:numPr>
          <w:ilvl w:val="0"/>
          <w:numId w:val="3"/>
        </w:numPr>
        <w:ind w:hanging="502"/>
      </w:pPr>
      <w:r>
        <w:t>No new debt was taken out during 201</w:t>
      </w:r>
      <w:r w:rsidR="0098278E">
        <w:t>4</w:t>
      </w:r>
      <w:r>
        <w:t>/1</w:t>
      </w:r>
      <w:r w:rsidR="0098278E">
        <w:t>5</w:t>
      </w:r>
      <w:r>
        <w:t xml:space="preserve"> and as at 31</w:t>
      </w:r>
      <w:r w:rsidRPr="000F18C8">
        <w:rPr>
          <w:vertAlign w:val="superscript"/>
        </w:rPr>
        <w:t>st</w:t>
      </w:r>
      <w:r w:rsidR="0098278E">
        <w:t xml:space="preserve"> March 2015</w:t>
      </w:r>
      <w:r>
        <w:t xml:space="preserve"> the Council’s total external debt was £</w:t>
      </w:r>
      <w:r w:rsidR="00B56655">
        <w:t>199.4</w:t>
      </w:r>
      <w:r>
        <w:t xml:space="preserve"> million.  This is below the CFR and indicates that the Council continues to internally borrow.</w:t>
      </w:r>
    </w:p>
    <w:p w:rsidR="00F72947" w:rsidRPr="00AA6F7F" w:rsidRDefault="00F72947" w:rsidP="004E160A"/>
    <w:p w:rsidR="00F72947" w:rsidRPr="00737EAE" w:rsidRDefault="00F72947" w:rsidP="004E160A">
      <w:pPr>
        <w:rPr>
          <w:b/>
        </w:rPr>
      </w:pPr>
      <w:r w:rsidRPr="00737EAE">
        <w:rPr>
          <w:b/>
        </w:rPr>
        <w:t>Treasury Position at 31</w:t>
      </w:r>
      <w:r w:rsidRPr="00737EAE">
        <w:rPr>
          <w:b/>
          <w:vertAlign w:val="superscript"/>
        </w:rPr>
        <w:t>st</w:t>
      </w:r>
      <w:r w:rsidRPr="00737EAE">
        <w:rPr>
          <w:b/>
        </w:rPr>
        <w:t xml:space="preserve"> March 201</w:t>
      </w:r>
      <w:r w:rsidR="0098278E">
        <w:rPr>
          <w:b/>
        </w:rPr>
        <w:t>5</w:t>
      </w:r>
    </w:p>
    <w:p w:rsidR="00F72947" w:rsidRPr="00737EAE" w:rsidRDefault="00F72947" w:rsidP="00BC1A13">
      <w:pPr>
        <w:numPr>
          <w:ilvl w:val="0"/>
          <w:numId w:val="3"/>
        </w:numPr>
        <w:ind w:hanging="502"/>
      </w:pPr>
      <w:r w:rsidRPr="00737EAE">
        <w:t>Whilst the Council’s gauge of its underlying need to borrow is the CFR, the treasury function manages the Council’s actual borrowing position by either:</w:t>
      </w:r>
    </w:p>
    <w:p w:rsidR="00F72947" w:rsidRPr="00737EAE" w:rsidRDefault="00F72947" w:rsidP="00BC1A13">
      <w:pPr>
        <w:numPr>
          <w:ilvl w:val="1"/>
          <w:numId w:val="3"/>
        </w:numPr>
        <w:tabs>
          <w:tab w:val="clear" w:pos="1260"/>
          <w:tab w:val="left" w:pos="900"/>
          <w:tab w:val="num" w:pos="1134"/>
        </w:tabs>
        <w:ind w:left="851" w:hanging="284"/>
      </w:pPr>
      <w:r w:rsidRPr="00737EAE">
        <w:t>Borrowing to the CFR;</w:t>
      </w:r>
    </w:p>
    <w:p w:rsidR="00F72947" w:rsidRPr="00737EAE" w:rsidRDefault="00F72947" w:rsidP="00BC1A13">
      <w:pPr>
        <w:numPr>
          <w:ilvl w:val="1"/>
          <w:numId w:val="3"/>
        </w:numPr>
        <w:tabs>
          <w:tab w:val="clear" w:pos="1260"/>
          <w:tab w:val="num" w:pos="1134"/>
        </w:tabs>
        <w:ind w:left="851" w:hanging="284"/>
      </w:pPr>
      <w:r w:rsidRPr="00737EAE">
        <w:t>Choosing to utilise temporary cash flow funds, instead of borrowing (know</w:t>
      </w:r>
      <w:r w:rsidR="00CD255E" w:rsidRPr="00737EAE">
        <w:t>n</w:t>
      </w:r>
      <w:r w:rsidRPr="00737EAE">
        <w:t xml:space="preserve"> as “under borrowing”);</w:t>
      </w:r>
    </w:p>
    <w:p w:rsidR="00F72947" w:rsidRPr="00737EAE" w:rsidRDefault="00F72947" w:rsidP="00BC1A13">
      <w:pPr>
        <w:numPr>
          <w:ilvl w:val="1"/>
          <w:numId w:val="3"/>
        </w:numPr>
        <w:tabs>
          <w:tab w:val="clear" w:pos="1260"/>
          <w:tab w:val="num" w:pos="1134"/>
        </w:tabs>
        <w:ind w:left="851" w:hanging="284"/>
        <w:rPr>
          <w:i/>
        </w:rPr>
      </w:pPr>
      <w:r w:rsidRPr="00737EAE">
        <w:t>Borrowing for future increases in the CFR (borrowing in advance of need</w:t>
      </w:r>
      <w:r w:rsidRPr="00737EAE">
        <w:rPr>
          <w:i/>
        </w:rPr>
        <w:t>)</w:t>
      </w:r>
    </w:p>
    <w:p w:rsidR="00341A3D" w:rsidRPr="00AA6F7F" w:rsidRDefault="00341A3D" w:rsidP="00BC1A13">
      <w:pPr>
        <w:ind w:left="360" w:hanging="502"/>
      </w:pPr>
    </w:p>
    <w:p w:rsidR="00BC6A1E" w:rsidRDefault="00BC6A1E" w:rsidP="00BC1A13">
      <w:pPr>
        <w:numPr>
          <w:ilvl w:val="0"/>
          <w:numId w:val="3"/>
        </w:numPr>
        <w:ind w:hanging="502"/>
      </w:pPr>
      <w:r w:rsidRPr="00645740">
        <w:t>The Council’s treasury position as at the 31</w:t>
      </w:r>
      <w:r w:rsidRPr="00645740">
        <w:rPr>
          <w:vertAlign w:val="superscript"/>
        </w:rPr>
        <w:t>st</w:t>
      </w:r>
      <w:r w:rsidRPr="00645740">
        <w:t xml:space="preserve"> March 201</w:t>
      </w:r>
      <w:r w:rsidR="0098278E">
        <w:t>5</w:t>
      </w:r>
      <w:r w:rsidRPr="00645740">
        <w:t xml:space="preserve"> for both debt and investments, compared with the previous year is set out in Table 3 below:</w:t>
      </w:r>
    </w:p>
    <w:p w:rsidR="00A05058" w:rsidRDefault="00A05058" w:rsidP="004E160A">
      <w:pPr>
        <w:pStyle w:val="ListParagraph"/>
      </w:pPr>
    </w:p>
    <w:p w:rsidR="00BC6A1E" w:rsidRPr="00AA6F7F" w:rsidRDefault="00BC6A1E" w:rsidP="00BC6A1E">
      <w:pPr>
        <w:ind w:left="360"/>
        <w:rPr>
          <w:b/>
        </w:rPr>
      </w:pPr>
      <w:r w:rsidRPr="00AA6F7F">
        <w:rPr>
          <w:b/>
        </w:rPr>
        <w:t>Table 3</w:t>
      </w:r>
    </w:p>
    <w:tbl>
      <w:tblPr>
        <w:tblW w:w="7943" w:type="dxa"/>
        <w:tblInd w:w="103" w:type="dxa"/>
        <w:tblLook w:val="04A0" w:firstRow="1" w:lastRow="0" w:firstColumn="1" w:lastColumn="0" w:noHBand="0" w:noVBand="1"/>
      </w:tblPr>
      <w:tblGrid>
        <w:gridCol w:w="3220"/>
        <w:gridCol w:w="1228"/>
        <w:gridCol w:w="1086"/>
        <w:gridCol w:w="1146"/>
        <w:gridCol w:w="1263"/>
      </w:tblGrid>
      <w:tr w:rsidR="00EF0B5B" w:rsidRPr="00AA6F7F" w:rsidTr="004A68F5">
        <w:trPr>
          <w:trHeight w:val="3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D53D7A" w:rsidRPr="00AA6F7F" w:rsidRDefault="00D53D7A" w:rsidP="00D53D7A">
            <w:pPr>
              <w:rPr>
                <w:rFonts w:cs="Arial"/>
                <w:b/>
                <w:bCs/>
                <w:sz w:val="22"/>
                <w:szCs w:val="22"/>
                <w:lang w:eastAsia="en-GB"/>
              </w:rPr>
            </w:pPr>
            <w:r w:rsidRPr="00AA6F7F">
              <w:rPr>
                <w:rFonts w:cs="Arial"/>
                <w:b/>
                <w:bCs/>
                <w:sz w:val="22"/>
                <w:szCs w:val="22"/>
                <w:lang w:eastAsia="en-GB"/>
              </w:rPr>
              <w:t> </w:t>
            </w:r>
          </w:p>
        </w:tc>
        <w:tc>
          <w:tcPr>
            <w:tcW w:w="2314" w:type="dxa"/>
            <w:gridSpan w:val="2"/>
            <w:tcBorders>
              <w:top w:val="single" w:sz="4" w:space="0" w:color="auto"/>
              <w:left w:val="nil"/>
              <w:bottom w:val="nil"/>
              <w:right w:val="single" w:sz="4" w:space="0" w:color="auto"/>
            </w:tcBorders>
            <w:shd w:val="clear" w:color="000000" w:fill="D9D9D9"/>
            <w:noWrap/>
            <w:vAlign w:val="bottom"/>
            <w:hideMark/>
          </w:tcPr>
          <w:p w:rsidR="00D53D7A" w:rsidRPr="00AA6F7F" w:rsidRDefault="00D53D7A" w:rsidP="00737EAE">
            <w:pPr>
              <w:jc w:val="center"/>
              <w:rPr>
                <w:rFonts w:cs="Arial"/>
                <w:b/>
                <w:bCs/>
                <w:sz w:val="22"/>
                <w:szCs w:val="22"/>
                <w:lang w:eastAsia="en-GB"/>
              </w:rPr>
            </w:pPr>
            <w:r w:rsidRPr="00AA6F7F">
              <w:rPr>
                <w:rFonts w:cs="Arial"/>
                <w:b/>
                <w:bCs/>
                <w:sz w:val="22"/>
                <w:szCs w:val="22"/>
                <w:lang w:eastAsia="en-GB"/>
              </w:rPr>
              <w:t>31st March 201</w:t>
            </w:r>
            <w:r w:rsidR="00B56655" w:rsidRPr="00AA6F7F">
              <w:rPr>
                <w:rFonts w:cs="Arial"/>
                <w:b/>
                <w:bCs/>
                <w:sz w:val="22"/>
                <w:szCs w:val="22"/>
                <w:lang w:eastAsia="en-GB"/>
              </w:rPr>
              <w:t>4</w:t>
            </w:r>
          </w:p>
        </w:tc>
        <w:tc>
          <w:tcPr>
            <w:tcW w:w="2409" w:type="dxa"/>
            <w:gridSpan w:val="2"/>
            <w:tcBorders>
              <w:top w:val="single" w:sz="4" w:space="0" w:color="auto"/>
              <w:left w:val="nil"/>
              <w:bottom w:val="nil"/>
              <w:right w:val="single" w:sz="4" w:space="0" w:color="auto"/>
            </w:tcBorders>
            <w:shd w:val="clear" w:color="000000" w:fill="D9D9D9"/>
            <w:noWrap/>
            <w:vAlign w:val="bottom"/>
            <w:hideMark/>
          </w:tcPr>
          <w:p w:rsidR="00D53D7A" w:rsidRPr="00AA6F7F" w:rsidRDefault="00D53D7A" w:rsidP="00737EAE">
            <w:pPr>
              <w:jc w:val="center"/>
              <w:rPr>
                <w:rFonts w:cs="Arial"/>
                <w:b/>
                <w:bCs/>
                <w:sz w:val="22"/>
                <w:szCs w:val="22"/>
                <w:lang w:eastAsia="en-GB"/>
              </w:rPr>
            </w:pPr>
            <w:r w:rsidRPr="00AA6F7F">
              <w:rPr>
                <w:rFonts w:cs="Arial"/>
                <w:b/>
                <w:bCs/>
                <w:sz w:val="22"/>
                <w:szCs w:val="22"/>
                <w:lang w:eastAsia="en-GB"/>
              </w:rPr>
              <w:t>31st March 201</w:t>
            </w:r>
            <w:r w:rsidR="00B56655" w:rsidRPr="00AA6F7F">
              <w:rPr>
                <w:rFonts w:cs="Arial"/>
                <w:b/>
                <w:bCs/>
                <w:sz w:val="22"/>
                <w:szCs w:val="22"/>
                <w:lang w:eastAsia="en-GB"/>
              </w:rPr>
              <w:t>5</w:t>
            </w:r>
          </w:p>
        </w:tc>
      </w:tr>
      <w:tr w:rsidR="00EF0B5B" w:rsidRPr="00AA6F7F" w:rsidTr="004A68F5">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D53D7A" w:rsidRPr="00AA6F7F" w:rsidRDefault="00D53D7A" w:rsidP="00D53D7A">
            <w:pPr>
              <w:rPr>
                <w:rFonts w:cs="Arial"/>
                <w:b/>
                <w:bCs/>
                <w:sz w:val="22"/>
                <w:szCs w:val="22"/>
                <w:lang w:eastAsia="en-GB"/>
              </w:rPr>
            </w:pPr>
            <w:r w:rsidRPr="00AA6F7F">
              <w:rPr>
                <w:rFonts w:cs="Arial"/>
                <w:b/>
                <w:bCs/>
                <w:sz w:val="22"/>
                <w:szCs w:val="22"/>
                <w:lang w:eastAsia="en-GB"/>
              </w:rPr>
              <w:t>Treasury Position</w:t>
            </w:r>
          </w:p>
        </w:tc>
        <w:tc>
          <w:tcPr>
            <w:tcW w:w="1228" w:type="dxa"/>
            <w:tcBorders>
              <w:top w:val="nil"/>
              <w:left w:val="nil"/>
              <w:bottom w:val="nil"/>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Principal</w:t>
            </w:r>
          </w:p>
        </w:tc>
        <w:tc>
          <w:tcPr>
            <w:tcW w:w="1086" w:type="dxa"/>
            <w:tcBorders>
              <w:top w:val="nil"/>
              <w:left w:val="nil"/>
              <w:bottom w:val="nil"/>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Average Rate</w:t>
            </w:r>
          </w:p>
        </w:tc>
        <w:tc>
          <w:tcPr>
            <w:tcW w:w="1146" w:type="dxa"/>
            <w:tcBorders>
              <w:top w:val="nil"/>
              <w:left w:val="nil"/>
              <w:bottom w:val="nil"/>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Principal</w:t>
            </w:r>
          </w:p>
        </w:tc>
        <w:tc>
          <w:tcPr>
            <w:tcW w:w="1263" w:type="dxa"/>
            <w:tcBorders>
              <w:top w:val="nil"/>
              <w:left w:val="nil"/>
              <w:bottom w:val="nil"/>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Average Rate</w:t>
            </w:r>
          </w:p>
        </w:tc>
      </w:tr>
      <w:tr w:rsidR="00EF0B5B" w:rsidRPr="00AA6F7F" w:rsidTr="004A68F5">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D53D7A" w:rsidRPr="00AA6F7F" w:rsidRDefault="00D53D7A" w:rsidP="00D53D7A">
            <w:pPr>
              <w:rPr>
                <w:rFonts w:cs="Arial"/>
                <w:b/>
                <w:bCs/>
                <w:sz w:val="22"/>
                <w:szCs w:val="22"/>
                <w:lang w:eastAsia="en-GB"/>
              </w:rPr>
            </w:pPr>
            <w:r w:rsidRPr="00AA6F7F">
              <w:rPr>
                <w:rFonts w:cs="Arial"/>
                <w:b/>
                <w:bCs/>
                <w:sz w:val="22"/>
                <w:szCs w:val="22"/>
                <w:lang w:eastAsia="en-GB"/>
              </w:rPr>
              <w:t> </w:t>
            </w:r>
          </w:p>
        </w:tc>
        <w:tc>
          <w:tcPr>
            <w:tcW w:w="1228" w:type="dxa"/>
            <w:tcBorders>
              <w:top w:val="nil"/>
              <w:left w:val="nil"/>
              <w:bottom w:val="single" w:sz="4" w:space="0" w:color="auto"/>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£'000</w:t>
            </w:r>
          </w:p>
        </w:tc>
        <w:tc>
          <w:tcPr>
            <w:tcW w:w="1086" w:type="dxa"/>
            <w:tcBorders>
              <w:top w:val="nil"/>
              <w:left w:val="nil"/>
              <w:bottom w:val="single" w:sz="4" w:space="0" w:color="auto"/>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w:t>
            </w:r>
          </w:p>
        </w:tc>
        <w:tc>
          <w:tcPr>
            <w:tcW w:w="1146" w:type="dxa"/>
            <w:tcBorders>
              <w:top w:val="nil"/>
              <w:left w:val="nil"/>
              <w:bottom w:val="single" w:sz="4" w:space="0" w:color="auto"/>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£'000</w:t>
            </w:r>
          </w:p>
        </w:tc>
        <w:tc>
          <w:tcPr>
            <w:tcW w:w="1263" w:type="dxa"/>
            <w:tcBorders>
              <w:top w:val="nil"/>
              <w:left w:val="nil"/>
              <w:bottom w:val="single" w:sz="4" w:space="0" w:color="auto"/>
              <w:right w:val="single" w:sz="4" w:space="0" w:color="auto"/>
            </w:tcBorders>
            <w:shd w:val="clear" w:color="000000" w:fill="D9D9D9"/>
            <w:noWrap/>
            <w:vAlign w:val="bottom"/>
            <w:hideMark/>
          </w:tcPr>
          <w:p w:rsidR="00D53D7A" w:rsidRPr="00AA6F7F" w:rsidRDefault="00D53D7A" w:rsidP="00D53D7A">
            <w:pPr>
              <w:jc w:val="center"/>
              <w:rPr>
                <w:rFonts w:cs="Arial"/>
                <w:b/>
                <w:bCs/>
                <w:sz w:val="22"/>
                <w:szCs w:val="22"/>
                <w:lang w:eastAsia="en-GB"/>
              </w:rPr>
            </w:pPr>
            <w:r w:rsidRPr="00AA6F7F">
              <w:rPr>
                <w:rFonts w:cs="Arial"/>
                <w:b/>
                <w:bCs/>
                <w:sz w:val="22"/>
                <w:szCs w:val="22"/>
                <w:lang w:eastAsia="en-GB"/>
              </w:rPr>
              <w:t>%</w:t>
            </w:r>
          </w:p>
        </w:tc>
      </w:tr>
      <w:tr w:rsidR="00EF0B5B" w:rsidRPr="00AA6F7F" w:rsidTr="004A68F5">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D53D7A" w:rsidRPr="00AA6F7F" w:rsidRDefault="00D53D7A" w:rsidP="00D53D7A">
            <w:pPr>
              <w:rPr>
                <w:rFonts w:cs="Arial"/>
                <w:b/>
                <w:bCs/>
                <w:sz w:val="22"/>
                <w:szCs w:val="22"/>
                <w:lang w:eastAsia="en-GB"/>
              </w:rPr>
            </w:pPr>
            <w:r w:rsidRPr="00AA6F7F">
              <w:rPr>
                <w:rFonts w:cs="Arial"/>
                <w:b/>
                <w:bCs/>
                <w:sz w:val="22"/>
                <w:szCs w:val="22"/>
                <w:lang w:eastAsia="en-GB"/>
              </w:rPr>
              <w:t>Borrowing</w:t>
            </w:r>
          </w:p>
        </w:tc>
        <w:tc>
          <w:tcPr>
            <w:tcW w:w="1228" w:type="dxa"/>
            <w:tcBorders>
              <w:top w:val="nil"/>
              <w:left w:val="nil"/>
              <w:bottom w:val="nil"/>
              <w:right w:val="single" w:sz="4" w:space="0" w:color="auto"/>
            </w:tcBorders>
            <w:shd w:val="clear" w:color="auto" w:fill="auto"/>
            <w:noWrap/>
            <w:vAlign w:val="bottom"/>
            <w:hideMark/>
          </w:tcPr>
          <w:p w:rsidR="00D53D7A" w:rsidRPr="00AA6F7F" w:rsidRDefault="00D53D7A" w:rsidP="00D53D7A">
            <w:pPr>
              <w:rPr>
                <w:rFonts w:cs="Arial"/>
                <w:sz w:val="22"/>
                <w:szCs w:val="22"/>
                <w:lang w:eastAsia="en-GB"/>
              </w:rPr>
            </w:pPr>
            <w:r w:rsidRPr="00AA6F7F">
              <w:rPr>
                <w:rFonts w:cs="Arial"/>
                <w:sz w:val="22"/>
                <w:szCs w:val="22"/>
                <w:lang w:eastAsia="en-GB"/>
              </w:rPr>
              <w:t> </w:t>
            </w:r>
          </w:p>
        </w:tc>
        <w:tc>
          <w:tcPr>
            <w:tcW w:w="1086" w:type="dxa"/>
            <w:tcBorders>
              <w:top w:val="nil"/>
              <w:left w:val="nil"/>
              <w:bottom w:val="nil"/>
              <w:right w:val="single" w:sz="4" w:space="0" w:color="auto"/>
            </w:tcBorders>
            <w:shd w:val="clear" w:color="auto" w:fill="auto"/>
            <w:noWrap/>
            <w:vAlign w:val="bottom"/>
            <w:hideMark/>
          </w:tcPr>
          <w:p w:rsidR="00D53D7A" w:rsidRPr="00AA6F7F" w:rsidRDefault="00D53D7A" w:rsidP="00D53D7A">
            <w:pPr>
              <w:rPr>
                <w:rFonts w:cs="Arial"/>
                <w:sz w:val="22"/>
                <w:szCs w:val="22"/>
                <w:lang w:eastAsia="en-GB"/>
              </w:rPr>
            </w:pPr>
            <w:r w:rsidRPr="00AA6F7F">
              <w:rPr>
                <w:rFonts w:cs="Arial"/>
                <w:sz w:val="22"/>
                <w:szCs w:val="22"/>
                <w:lang w:eastAsia="en-GB"/>
              </w:rPr>
              <w:t> </w:t>
            </w:r>
          </w:p>
        </w:tc>
        <w:tc>
          <w:tcPr>
            <w:tcW w:w="1146" w:type="dxa"/>
            <w:tcBorders>
              <w:top w:val="nil"/>
              <w:left w:val="nil"/>
              <w:bottom w:val="nil"/>
              <w:right w:val="single" w:sz="4" w:space="0" w:color="auto"/>
            </w:tcBorders>
            <w:shd w:val="clear" w:color="auto" w:fill="auto"/>
            <w:noWrap/>
            <w:vAlign w:val="bottom"/>
            <w:hideMark/>
          </w:tcPr>
          <w:p w:rsidR="00D53D7A" w:rsidRPr="00AA6F7F" w:rsidRDefault="00D53D7A" w:rsidP="00D53D7A">
            <w:pPr>
              <w:rPr>
                <w:rFonts w:cs="Arial"/>
                <w:sz w:val="22"/>
                <w:szCs w:val="22"/>
                <w:lang w:eastAsia="en-GB"/>
              </w:rPr>
            </w:pPr>
            <w:r w:rsidRPr="00AA6F7F">
              <w:rPr>
                <w:rFonts w:cs="Arial"/>
                <w:sz w:val="22"/>
                <w:szCs w:val="22"/>
                <w:lang w:eastAsia="en-GB"/>
              </w:rPr>
              <w:t> </w:t>
            </w:r>
          </w:p>
        </w:tc>
        <w:tc>
          <w:tcPr>
            <w:tcW w:w="1263" w:type="dxa"/>
            <w:tcBorders>
              <w:top w:val="nil"/>
              <w:left w:val="nil"/>
              <w:bottom w:val="nil"/>
              <w:right w:val="single" w:sz="4" w:space="0" w:color="auto"/>
            </w:tcBorders>
            <w:shd w:val="clear" w:color="auto" w:fill="auto"/>
            <w:noWrap/>
            <w:vAlign w:val="bottom"/>
            <w:hideMark/>
          </w:tcPr>
          <w:p w:rsidR="00D53D7A" w:rsidRPr="00AA6F7F" w:rsidRDefault="00D53D7A" w:rsidP="00D53D7A">
            <w:pPr>
              <w:rPr>
                <w:rFonts w:cs="Arial"/>
                <w:sz w:val="22"/>
                <w:szCs w:val="22"/>
                <w:lang w:eastAsia="en-GB"/>
              </w:rPr>
            </w:pPr>
            <w:r w:rsidRPr="00AA6F7F">
              <w:rPr>
                <w:rFonts w:cs="Arial"/>
                <w:sz w:val="22"/>
                <w:szCs w:val="22"/>
                <w:lang w:eastAsia="en-GB"/>
              </w:rPr>
              <w:t> </w:t>
            </w:r>
          </w:p>
        </w:tc>
      </w:tr>
      <w:tr w:rsidR="00EF0B5B" w:rsidRPr="00AA6F7F" w:rsidTr="0098278E">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sz w:val="22"/>
                <w:szCs w:val="22"/>
                <w:lang w:eastAsia="en-GB"/>
              </w:rPr>
            </w:pPr>
            <w:r w:rsidRPr="00AA6F7F">
              <w:rPr>
                <w:rFonts w:cs="Arial"/>
                <w:sz w:val="22"/>
                <w:szCs w:val="22"/>
                <w:lang w:eastAsia="en-GB"/>
              </w:rPr>
              <w:t>Fixed Interest Rate Debt</w:t>
            </w:r>
          </w:p>
        </w:tc>
        <w:tc>
          <w:tcPr>
            <w:tcW w:w="1228" w:type="dxa"/>
            <w:tcBorders>
              <w:top w:val="nil"/>
              <w:left w:val="nil"/>
              <w:bottom w:val="nil"/>
              <w:right w:val="single" w:sz="4" w:space="0" w:color="auto"/>
            </w:tcBorders>
            <w:shd w:val="clear" w:color="auto" w:fill="auto"/>
            <w:noWrap/>
            <w:vAlign w:val="bottom"/>
          </w:tcPr>
          <w:p w:rsidR="00737EAE" w:rsidRPr="00AA6F7F" w:rsidRDefault="00F40076" w:rsidP="00F40076">
            <w:pPr>
              <w:jc w:val="right"/>
              <w:rPr>
                <w:rFonts w:cs="Arial"/>
                <w:sz w:val="22"/>
                <w:szCs w:val="22"/>
                <w:lang w:eastAsia="en-GB"/>
              </w:rPr>
            </w:pPr>
            <w:r w:rsidRPr="00AA6F7F">
              <w:rPr>
                <w:rFonts w:cs="Arial"/>
                <w:sz w:val="22"/>
                <w:szCs w:val="22"/>
                <w:lang w:eastAsia="en-GB"/>
              </w:rPr>
              <w:t>200,440</w:t>
            </w:r>
          </w:p>
        </w:tc>
        <w:tc>
          <w:tcPr>
            <w:tcW w:w="1086"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sz w:val="22"/>
                <w:szCs w:val="22"/>
                <w:lang w:eastAsia="en-GB"/>
              </w:rPr>
            </w:pPr>
            <w:r w:rsidRPr="00AA6F7F">
              <w:rPr>
                <w:rFonts w:cs="Arial"/>
                <w:sz w:val="22"/>
                <w:szCs w:val="22"/>
                <w:lang w:eastAsia="en-GB"/>
              </w:rPr>
              <w:t>3.39</w:t>
            </w:r>
          </w:p>
        </w:tc>
        <w:tc>
          <w:tcPr>
            <w:tcW w:w="1146" w:type="dxa"/>
            <w:tcBorders>
              <w:top w:val="nil"/>
              <w:left w:val="nil"/>
              <w:bottom w:val="nil"/>
              <w:right w:val="single" w:sz="4" w:space="0" w:color="auto"/>
            </w:tcBorders>
            <w:shd w:val="clear" w:color="auto" w:fill="auto"/>
            <w:noWrap/>
            <w:vAlign w:val="bottom"/>
          </w:tcPr>
          <w:p w:rsidR="00737EAE" w:rsidRPr="00AA6F7F" w:rsidRDefault="00F40076" w:rsidP="00D53D7A">
            <w:pPr>
              <w:jc w:val="right"/>
              <w:rPr>
                <w:rFonts w:cs="Arial"/>
                <w:sz w:val="22"/>
                <w:szCs w:val="22"/>
                <w:lang w:eastAsia="en-GB"/>
              </w:rPr>
            </w:pPr>
            <w:r w:rsidRPr="00AA6F7F">
              <w:rPr>
                <w:rFonts w:cs="Arial"/>
                <w:sz w:val="22"/>
                <w:szCs w:val="22"/>
                <w:lang w:eastAsia="en-GB"/>
              </w:rPr>
              <w:t>199,423</w:t>
            </w:r>
          </w:p>
        </w:tc>
        <w:tc>
          <w:tcPr>
            <w:tcW w:w="1263" w:type="dxa"/>
            <w:tcBorders>
              <w:top w:val="nil"/>
              <w:left w:val="nil"/>
              <w:bottom w:val="nil"/>
              <w:right w:val="single" w:sz="4" w:space="0" w:color="auto"/>
            </w:tcBorders>
            <w:shd w:val="clear" w:color="auto" w:fill="auto"/>
            <w:noWrap/>
            <w:vAlign w:val="bottom"/>
          </w:tcPr>
          <w:p w:rsidR="00737EAE" w:rsidRPr="00AA6F7F" w:rsidRDefault="00BC538F" w:rsidP="00D53D7A">
            <w:pPr>
              <w:jc w:val="right"/>
              <w:rPr>
                <w:rFonts w:cs="Arial"/>
                <w:sz w:val="22"/>
                <w:szCs w:val="22"/>
                <w:lang w:eastAsia="en-GB"/>
              </w:rPr>
            </w:pPr>
            <w:r w:rsidRPr="00AA6F7F">
              <w:rPr>
                <w:rFonts w:cs="Arial"/>
                <w:sz w:val="22"/>
                <w:szCs w:val="22"/>
                <w:lang w:eastAsia="en-GB"/>
              </w:rPr>
              <w:t>3.39</w:t>
            </w:r>
          </w:p>
        </w:tc>
      </w:tr>
      <w:tr w:rsidR="00EF0B5B" w:rsidRPr="00AA6F7F" w:rsidTr="0098278E">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10399C">
            <w:pPr>
              <w:rPr>
                <w:rFonts w:cs="Arial"/>
                <w:sz w:val="22"/>
                <w:szCs w:val="22"/>
                <w:lang w:eastAsia="en-GB"/>
              </w:rPr>
            </w:pPr>
          </w:p>
        </w:tc>
        <w:tc>
          <w:tcPr>
            <w:tcW w:w="1228" w:type="dxa"/>
            <w:tcBorders>
              <w:top w:val="nil"/>
              <w:left w:val="nil"/>
              <w:bottom w:val="nil"/>
              <w:right w:val="single" w:sz="4" w:space="0" w:color="auto"/>
            </w:tcBorders>
            <w:shd w:val="clear" w:color="auto" w:fill="auto"/>
            <w:noWrap/>
            <w:vAlign w:val="bottom"/>
          </w:tcPr>
          <w:p w:rsidR="00737EAE" w:rsidRPr="00AA6F7F" w:rsidRDefault="00737EAE" w:rsidP="005E3247">
            <w:pPr>
              <w:jc w:val="right"/>
              <w:rPr>
                <w:rFonts w:cs="Arial"/>
                <w:sz w:val="22"/>
                <w:szCs w:val="22"/>
                <w:lang w:eastAsia="en-GB"/>
              </w:rPr>
            </w:pPr>
          </w:p>
        </w:tc>
        <w:tc>
          <w:tcPr>
            <w:tcW w:w="1086" w:type="dxa"/>
            <w:tcBorders>
              <w:top w:val="nil"/>
              <w:left w:val="nil"/>
              <w:bottom w:val="nil"/>
              <w:right w:val="single" w:sz="4" w:space="0" w:color="auto"/>
            </w:tcBorders>
            <w:shd w:val="clear" w:color="auto" w:fill="auto"/>
            <w:noWrap/>
            <w:vAlign w:val="bottom"/>
          </w:tcPr>
          <w:p w:rsidR="00737EAE" w:rsidRPr="00AA6F7F" w:rsidRDefault="00737EAE" w:rsidP="005E3247">
            <w:pPr>
              <w:jc w:val="right"/>
              <w:rPr>
                <w:rFonts w:cs="Arial"/>
                <w:sz w:val="22"/>
                <w:szCs w:val="22"/>
                <w:lang w:eastAsia="en-GB"/>
              </w:rPr>
            </w:pPr>
          </w:p>
        </w:tc>
        <w:tc>
          <w:tcPr>
            <w:tcW w:w="1146" w:type="dxa"/>
            <w:tcBorders>
              <w:top w:val="nil"/>
              <w:left w:val="nil"/>
              <w:bottom w:val="nil"/>
              <w:right w:val="single" w:sz="4" w:space="0" w:color="auto"/>
            </w:tcBorders>
            <w:shd w:val="clear" w:color="auto" w:fill="auto"/>
            <w:noWrap/>
            <w:vAlign w:val="bottom"/>
          </w:tcPr>
          <w:p w:rsidR="00737EAE" w:rsidRPr="00AA6F7F" w:rsidRDefault="00737EAE" w:rsidP="00D53D7A">
            <w:pPr>
              <w:jc w:val="right"/>
              <w:rPr>
                <w:rFonts w:cs="Arial"/>
                <w:sz w:val="22"/>
                <w:szCs w:val="22"/>
                <w:lang w:eastAsia="en-GB"/>
              </w:rPr>
            </w:pPr>
          </w:p>
        </w:tc>
        <w:tc>
          <w:tcPr>
            <w:tcW w:w="1263" w:type="dxa"/>
            <w:tcBorders>
              <w:top w:val="nil"/>
              <w:left w:val="nil"/>
              <w:bottom w:val="nil"/>
              <w:right w:val="single" w:sz="4" w:space="0" w:color="auto"/>
            </w:tcBorders>
            <w:shd w:val="clear" w:color="auto" w:fill="auto"/>
            <w:noWrap/>
            <w:vAlign w:val="bottom"/>
          </w:tcPr>
          <w:p w:rsidR="00737EAE" w:rsidRPr="00AA6F7F" w:rsidRDefault="00737EAE" w:rsidP="00D53D7A">
            <w:pPr>
              <w:jc w:val="right"/>
              <w:rPr>
                <w:rFonts w:cs="Arial"/>
                <w:sz w:val="22"/>
                <w:szCs w:val="22"/>
                <w:lang w:eastAsia="en-GB"/>
              </w:rPr>
            </w:pPr>
          </w:p>
        </w:tc>
      </w:tr>
      <w:tr w:rsidR="00EF0B5B" w:rsidRPr="00AA6F7F" w:rsidTr="0098278E">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sz w:val="22"/>
                <w:szCs w:val="22"/>
                <w:lang w:eastAsia="en-GB"/>
              </w:rPr>
            </w:pPr>
          </w:p>
        </w:tc>
        <w:tc>
          <w:tcPr>
            <w:tcW w:w="1228" w:type="dxa"/>
            <w:tcBorders>
              <w:top w:val="nil"/>
              <w:left w:val="nil"/>
              <w:bottom w:val="nil"/>
              <w:right w:val="single" w:sz="4" w:space="0" w:color="auto"/>
            </w:tcBorders>
            <w:shd w:val="clear" w:color="auto" w:fill="auto"/>
            <w:noWrap/>
            <w:vAlign w:val="bottom"/>
          </w:tcPr>
          <w:p w:rsidR="00737EAE" w:rsidRPr="00AA6F7F" w:rsidRDefault="00737EAE" w:rsidP="005E3247">
            <w:pPr>
              <w:jc w:val="right"/>
              <w:rPr>
                <w:rFonts w:cs="Arial"/>
                <w:sz w:val="22"/>
                <w:szCs w:val="22"/>
                <w:lang w:eastAsia="en-GB"/>
              </w:rPr>
            </w:pPr>
          </w:p>
        </w:tc>
        <w:tc>
          <w:tcPr>
            <w:tcW w:w="1086" w:type="dxa"/>
            <w:tcBorders>
              <w:top w:val="nil"/>
              <w:left w:val="nil"/>
              <w:bottom w:val="nil"/>
              <w:right w:val="single" w:sz="4" w:space="0" w:color="auto"/>
            </w:tcBorders>
            <w:shd w:val="clear" w:color="auto" w:fill="auto"/>
            <w:noWrap/>
            <w:vAlign w:val="bottom"/>
          </w:tcPr>
          <w:p w:rsidR="00737EAE" w:rsidRPr="00AA6F7F" w:rsidRDefault="00737EAE" w:rsidP="005E3247">
            <w:pPr>
              <w:jc w:val="right"/>
              <w:rPr>
                <w:rFonts w:cs="Arial"/>
                <w:sz w:val="22"/>
                <w:szCs w:val="22"/>
                <w:lang w:eastAsia="en-GB"/>
              </w:rPr>
            </w:pPr>
          </w:p>
        </w:tc>
        <w:tc>
          <w:tcPr>
            <w:tcW w:w="1146" w:type="dxa"/>
            <w:tcBorders>
              <w:top w:val="nil"/>
              <w:left w:val="nil"/>
              <w:bottom w:val="nil"/>
              <w:right w:val="single" w:sz="4" w:space="0" w:color="auto"/>
            </w:tcBorders>
            <w:shd w:val="clear" w:color="auto" w:fill="auto"/>
            <w:noWrap/>
            <w:vAlign w:val="bottom"/>
          </w:tcPr>
          <w:p w:rsidR="00737EAE" w:rsidRPr="00AA6F7F" w:rsidRDefault="00737EAE" w:rsidP="00D53D7A">
            <w:pPr>
              <w:jc w:val="right"/>
              <w:rPr>
                <w:rFonts w:cs="Arial"/>
                <w:sz w:val="22"/>
                <w:szCs w:val="22"/>
                <w:lang w:eastAsia="en-GB"/>
              </w:rPr>
            </w:pPr>
          </w:p>
        </w:tc>
        <w:tc>
          <w:tcPr>
            <w:tcW w:w="1263" w:type="dxa"/>
            <w:tcBorders>
              <w:top w:val="nil"/>
              <w:left w:val="nil"/>
              <w:bottom w:val="nil"/>
              <w:right w:val="single" w:sz="4" w:space="0" w:color="auto"/>
            </w:tcBorders>
            <w:shd w:val="clear" w:color="auto" w:fill="auto"/>
            <w:noWrap/>
            <w:vAlign w:val="bottom"/>
          </w:tcPr>
          <w:p w:rsidR="00737EAE" w:rsidRPr="00AA6F7F" w:rsidRDefault="00737EAE" w:rsidP="00D53D7A">
            <w:pPr>
              <w:jc w:val="right"/>
              <w:rPr>
                <w:rFonts w:cs="Arial"/>
                <w:sz w:val="22"/>
                <w:szCs w:val="22"/>
                <w:lang w:eastAsia="en-GB"/>
              </w:rPr>
            </w:pPr>
          </w:p>
        </w:tc>
      </w:tr>
      <w:tr w:rsidR="00EF0B5B" w:rsidRPr="00AA6F7F" w:rsidTr="0098278E">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b/>
                <w:bCs/>
                <w:sz w:val="22"/>
                <w:szCs w:val="22"/>
                <w:lang w:eastAsia="en-GB"/>
              </w:rPr>
            </w:pPr>
            <w:r w:rsidRPr="00AA6F7F">
              <w:rPr>
                <w:rFonts w:cs="Arial"/>
                <w:b/>
                <w:bCs/>
                <w:sz w:val="22"/>
                <w:szCs w:val="22"/>
                <w:lang w:eastAsia="en-GB"/>
              </w:rPr>
              <w:t>Total Debt</w:t>
            </w:r>
          </w:p>
        </w:tc>
        <w:tc>
          <w:tcPr>
            <w:tcW w:w="1228" w:type="dxa"/>
            <w:tcBorders>
              <w:top w:val="nil"/>
              <w:left w:val="nil"/>
              <w:bottom w:val="nil"/>
              <w:right w:val="single" w:sz="4" w:space="0" w:color="auto"/>
            </w:tcBorders>
            <w:shd w:val="clear" w:color="auto" w:fill="auto"/>
            <w:noWrap/>
            <w:vAlign w:val="bottom"/>
          </w:tcPr>
          <w:p w:rsidR="00737EAE" w:rsidRPr="00AA6F7F" w:rsidRDefault="00F40076" w:rsidP="00F40076">
            <w:pPr>
              <w:jc w:val="right"/>
              <w:rPr>
                <w:rFonts w:cs="Arial"/>
                <w:b/>
                <w:bCs/>
                <w:sz w:val="22"/>
                <w:szCs w:val="22"/>
                <w:lang w:eastAsia="en-GB"/>
              </w:rPr>
            </w:pPr>
            <w:r w:rsidRPr="00AA6F7F">
              <w:rPr>
                <w:rFonts w:cs="Arial"/>
                <w:b/>
                <w:bCs/>
                <w:sz w:val="22"/>
                <w:szCs w:val="22"/>
                <w:lang w:eastAsia="en-GB"/>
              </w:rPr>
              <w:t>200,440</w:t>
            </w:r>
          </w:p>
        </w:tc>
        <w:tc>
          <w:tcPr>
            <w:tcW w:w="1086"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b/>
                <w:bCs/>
                <w:sz w:val="22"/>
                <w:szCs w:val="22"/>
                <w:lang w:eastAsia="en-GB"/>
              </w:rPr>
            </w:pPr>
            <w:r w:rsidRPr="00AA6F7F">
              <w:rPr>
                <w:rFonts w:cs="Arial"/>
                <w:b/>
                <w:bCs/>
                <w:sz w:val="22"/>
                <w:szCs w:val="22"/>
                <w:lang w:eastAsia="en-GB"/>
              </w:rPr>
              <w:t>3.39</w:t>
            </w:r>
          </w:p>
        </w:tc>
        <w:tc>
          <w:tcPr>
            <w:tcW w:w="1146" w:type="dxa"/>
            <w:tcBorders>
              <w:top w:val="nil"/>
              <w:left w:val="nil"/>
              <w:bottom w:val="nil"/>
              <w:right w:val="single" w:sz="4" w:space="0" w:color="auto"/>
            </w:tcBorders>
            <w:shd w:val="clear" w:color="auto" w:fill="auto"/>
            <w:noWrap/>
            <w:vAlign w:val="bottom"/>
          </w:tcPr>
          <w:p w:rsidR="00737EAE" w:rsidRPr="00AA6F7F" w:rsidRDefault="00F40076" w:rsidP="00D53D7A">
            <w:pPr>
              <w:jc w:val="right"/>
              <w:rPr>
                <w:rFonts w:cs="Arial"/>
                <w:b/>
                <w:bCs/>
                <w:sz w:val="22"/>
                <w:szCs w:val="22"/>
                <w:lang w:eastAsia="en-GB"/>
              </w:rPr>
            </w:pPr>
            <w:r w:rsidRPr="00AA6F7F">
              <w:rPr>
                <w:rFonts w:cs="Arial"/>
                <w:b/>
                <w:bCs/>
                <w:sz w:val="22"/>
                <w:szCs w:val="22"/>
                <w:lang w:eastAsia="en-GB"/>
              </w:rPr>
              <w:t>199,423</w:t>
            </w:r>
          </w:p>
        </w:tc>
        <w:tc>
          <w:tcPr>
            <w:tcW w:w="1263" w:type="dxa"/>
            <w:tcBorders>
              <w:top w:val="nil"/>
              <w:left w:val="nil"/>
              <w:bottom w:val="nil"/>
              <w:right w:val="single" w:sz="4" w:space="0" w:color="auto"/>
            </w:tcBorders>
            <w:shd w:val="clear" w:color="auto" w:fill="auto"/>
            <w:noWrap/>
            <w:vAlign w:val="bottom"/>
          </w:tcPr>
          <w:p w:rsidR="00737EAE" w:rsidRPr="00AA6F7F" w:rsidRDefault="00BC538F" w:rsidP="00D53D7A">
            <w:pPr>
              <w:jc w:val="right"/>
              <w:rPr>
                <w:rFonts w:cs="Arial"/>
                <w:b/>
                <w:bCs/>
                <w:sz w:val="22"/>
                <w:szCs w:val="22"/>
                <w:lang w:eastAsia="en-GB"/>
              </w:rPr>
            </w:pPr>
            <w:r w:rsidRPr="00AA6F7F">
              <w:rPr>
                <w:rFonts w:cs="Arial"/>
                <w:b/>
                <w:bCs/>
                <w:sz w:val="22"/>
                <w:szCs w:val="22"/>
                <w:lang w:eastAsia="en-GB"/>
              </w:rPr>
              <w:t>3.39</w:t>
            </w:r>
          </w:p>
        </w:tc>
      </w:tr>
      <w:tr w:rsidR="00EF0B5B" w:rsidRPr="00AA6F7F" w:rsidTr="004A68F5">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sz w:val="22"/>
                <w:szCs w:val="22"/>
                <w:lang w:eastAsia="en-GB"/>
              </w:rPr>
            </w:pPr>
            <w:r w:rsidRPr="00AA6F7F">
              <w:rPr>
                <w:rFonts w:cs="Arial"/>
                <w:sz w:val="22"/>
                <w:szCs w:val="22"/>
                <w:lang w:eastAsia="en-GB"/>
              </w:rPr>
              <w:t> </w:t>
            </w:r>
          </w:p>
        </w:tc>
        <w:tc>
          <w:tcPr>
            <w:tcW w:w="1228" w:type="dxa"/>
            <w:tcBorders>
              <w:top w:val="nil"/>
              <w:left w:val="nil"/>
              <w:bottom w:val="nil"/>
              <w:right w:val="single" w:sz="4" w:space="0" w:color="auto"/>
            </w:tcBorders>
            <w:shd w:val="clear" w:color="auto" w:fill="auto"/>
            <w:noWrap/>
            <w:vAlign w:val="bottom"/>
            <w:hideMark/>
          </w:tcPr>
          <w:p w:rsidR="00737EAE" w:rsidRPr="00AA6F7F" w:rsidRDefault="00737EAE" w:rsidP="005E3247">
            <w:pPr>
              <w:rPr>
                <w:rFonts w:cs="Arial"/>
                <w:sz w:val="22"/>
                <w:szCs w:val="22"/>
                <w:lang w:eastAsia="en-GB"/>
              </w:rPr>
            </w:pPr>
            <w:r w:rsidRPr="00AA6F7F">
              <w:rPr>
                <w:rFonts w:cs="Arial"/>
                <w:sz w:val="22"/>
                <w:szCs w:val="22"/>
                <w:lang w:eastAsia="en-GB"/>
              </w:rPr>
              <w:t> </w:t>
            </w:r>
          </w:p>
        </w:tc>
        <w:tc>
          <w:tcPr>
            <w:tcW w:w="1086" w:type="dxa"/>
            <w:tcBorders>
              <w:top w:val="nil"/>
              <w:left w:val="nil"/>
              <w:bottom w:val="nil"/>
              <w:right w:val="single" w:sz="4" w:space="0" w:color="auto"/>
            </w:tcBorders>
            <w:shd w:val="clear" w:color="auto" w:fill="auto"/>
            <w:noWrap/>
            <w:vAlign w:val="bottom"/>
            <w:hideMark/>
          </w:tcPr>
          <w:p w:rsidR="00737EAE" w:rsidRPr="00AA6F7F" w:rsidRDefault="00737EAE" w:rsidP="005E3247">
            <w:pPr>
              <w:rPr>
                <w:rFonts w:cs="Arial"/>
                <w:sz w:val="22"/>
                <w:szCs w:val="22"/>
                <w:lang w:eastAsia="en-GB"/>
              </w:rPr>
            </w:pPr>
            <w:r w:rsidRPr="00AA6F7F">
              <w:rPr>
                <w:rFonts w:cs="Arial"/>
                <w:sz w:val="22"/>
                <w:szCs w:val="22"/>
                <w:lang w:eastAsia="en-GB"/>
              </w:rPr>
              <w:t> </w:t>
            </w:r>
          </w:p>
        </w:tc>
        <w:tc>
          <w:tcPr>
            <w:tcW w:w="1146"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c>
          <w:tcPr>
            <w:tcW w:w="1263"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r>
      <w:tr w:rsidR="00EF0B5B" w:rsidRPr="00AA6F7F" w:rsidTr="004A68F5">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b/>
                <w:bCs/>
                <w:sz w:val="22"/>
                <w:szCs w:val="22"/>
                <w:lang w:eastAsia="en-GB"/>
              </w:rPr>
            </w:pPr>
            <w:r w:rsidRPr="00AA6F7F">
              <w:rPr>
                <w:rFonts w:cs="Arial"/>
                <w:b/>
                <w:bCs/>
                <w:sz w:val="22"/>
                <w:szCs w:val="22"/>
                <w:lang w:eastAsia="en-GB"/>
              </w:rPr>
              <w:t>Investments</w:t>
            </w:r>
          </w:p>
        </w:tc>
        <w:tc>
          <w:tcPr>
            <w:tcW w:w="1228" w:type="dxa"/>
            <w:tcBorders>
              <w:top w:val="nil"/>
              <w:left w:val="nil"/>
              <w:bottom w:val="nil"/>
              <w:right w:val="single" w:sz="4" w:space="0" w:color="auto"/>
            </w:tcBorders>
            <w:shd w:val="clear" w:color="auto" w:fill="auto"/>
            <w:noWrap/>
            <w:vAlign w:val="bottom"/>
            <w:hideMark/>
          </w:tcPr>
          <w:p w:rsidR="00737EAE" w:rsidRPr="00AA6F7F" w:rsidRDefault="00737EAE" w:rsidP="005E3247">
            <w:pPr>
              <w:rPr>
                <w:rFonts w:cs="Arial"/>
                <w:sz w:val="22"/>
                <w:szCs w:val="22"/>
                <w:lang w:eastAsia="en-GB"/>
              </w:rPr>
            </w:pPr>
            <w:r w:rsidRPr="00AA6F7F">
              <w:rPr>
                <w:rFonts w:cs="Arial"/>
                <w:sz w:val="22"/>
                <w:szCs w:val="22"/>
                <w:lang w:eastAsia="en-GB"/>
              </w:rPr>
              <w:t> </w:t>
            </w:r>
          </w:p>
        </w:tc>
        <w:tc>
          <w:tcPr>
            <w:tcW w:w="1086" w:type="dxa"/>
            <w:tcBorders>
              <w:top w:val="nil"/>
              <w:left w:val="nil"/>
              <w:bottom w:val="nil"/>
              <w:right w:val="single" w:sz="4" w:space="0" w:color="auto"/>
            </w:tcBorders>
            <w:shd w:val="clear" w:color="auto" w:fill="auto"/>
            <w:noWrap/>
            <w:vAlign w:val="bottom"/>
            <w:hideMark/>
          </w:tcPr>
          <w:p w:rsidR="00737EAE" w:rsidRPr="00AA6F7F" w:rsidRDefault="00737EAE" w:rsidP="005E3247">
            <w:pPr>
              <w:rPr>
                <w:rFonts w:cs="Arial"/>
                <w:sz w:val="22"/>
                <w:szCs w:val="22"/>
                <w:lang w:eastAsia="en-GB"/>
              </w:rPr>
            </w:pPr>
            <w:r w:rsidRPr="00AA6F7F">
              <w:rPr>
                <w:rFonts w:cs="Arial"/>
                <w:sz w:val="22"/>
                <w:szCs w:val="22"/>
                <w:lang w:eastAsia="en-GB"/>
              </w:rPr>
              <w:t> </w:t>
            </w:r>
          </w:p>
        </w:tc>
        <w:tc>
          <w:tcPr>
            <w:tcW w:w="1146"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c>
          <w:tcPr>
            <w:tcW w:w="1263"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r>
      <w:tr w:rsidR="00EF0B5B" w:rsidRPr="00AA6F7F" w:rsidTr="0098278E">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sz w:val="22"/>
                <w:szCs w:val="22"/>
                <w:lang w:eastAsia="en-GB"/>
              </w:rPr>
            </w:pPr>
            <w:r w:rsidRPr="00AA6F7F">
              <w:rPr>
                <w:rFonts w:cs="Arial"/>
                <w:sz w:val="22"/>
                <w:szCs w:val="22"/>
                <w:lang w:eastAsia="en-GB"/>
              </w:rPr>
              <w:t>Fixed Interest Investments</w:t>
            </w:r>
          </w:p>
        </w:tc>
        <w:tc>
          <w:tcPr>
            <w:tcW w:w="1228"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sz w:val="22"/>
                <w:szCs w:val="22"/>
                <w:lang w:eastAsia="en-GB"/>
              </w:rPr>
            </w:pPr>
            <w:r w:rsidRPr="00AA6F7F">
              <w:rPr>
                <w:rFonts w:cs="Arial"/>
                <w:sz w:val="22"/>
                <w:szCs w:val="22"/>
                <w:lang w:eastAsia="en-GB"/>
              </w:rPr>
              <w:t>47,441</w:t>
            </w:r>
          </w:p>
        </w:tc>
        <w:tc>
          <w:tcPr>
            <w:tcW w:w="1086"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sz w:val="22"/>
                <w:szCs w:val="22"/>
                <w:lang w:eastAsia="en-GB"/>
              </w:rPr>
            </w:pPr>
            <w:r w:rsidRPr="00AA6F7F">
              <w:rPr>
                <w:rFonts w:cs="Arial"/>
                <w:sz w:val="22"/>
                <w:szCs w:val="22"/>
                <w:lang w:eastAsia="en-GB"/>
              </w:rPr>
              <w:t>0.98</w:t>
            </w:r>
          </w:p>
        </w:tc>
        <w:tc>
          <w:tcPr>
            <w:tcW w:w="1146" w:type="dxa"/>
            <w:tcBorders>
              <w:top w:val="nil"/>
              <w:left w:val="nil"/>
              <w:bottom w:val="nil"/>
              <w:right w:val="single" w:sz="4" w:space="0" w:color="auto"/>
            </w:tcBorders>
            <w:shd w:val="clear" w:color="auto" w:fill="auto"/>
            <w:noWrap/>
            <w:vAlign w:val="bottom"/>
          </w:tcPr>
          <w:p w:rsidR="00737EAE" w:rsidRPr="00AA6F7F" w:rsidRDefault="00BC538F" w:rsidP="001728A4">
            <w:pPr>
              <w:jc w:val="right"/>
              <w:rPr>
                <w:rFonts w:cs="Arial"/>
                <w:sz w:val="22"/>
                <w:szCs w:val="22"/>
                <w:lang w:eastAsia="en-GB"/>
              </w:rPr>
            </w:pPr>
            <w:r w:rsidRPr="00AA6F7F">
              <w:rPr>
                <w:rFonts w:cs="Arial"/>
                <w:sz w:val="22"/>
                <w:szCs w:val="22"/>
                <w:lang w:eastAsia="en-GB"/>
              </w:rPr>
              <w:t>35,200</w:t>
            </w:r>
          </w:p>
        </w:tc>
        <w:tc>
          <w:tcPr>
            <w:tcW w:w="1263" w:type="dxa"/>
            <w:tcBorders>
              <w:top w:val="nil"/>
              <w:left w:val="nil"/>
              <w:bottom w:val="nil"/>
              <w:right w:val="single" w:sz="4" w:space="0" w:color="auto"/>
            </w:tcBorders>
            <w:shd w:val="clear" w:color="auto" w:fill="auto"/>
            <w:noWrap/>
            <w:vAlign w:val="bottom"/>
          </w:tcPr>
          <w:p w:rsidR="00737EAE" w:rsidRPr="00AA6F7F" w:rsidRDefault="004714AC" w:rsidP="00D53D7A">
            <w:pPr>
              <w:jc w:val="right"/>
              <w:rPr>
                <w:rFonts w:cs="Arial"/>
                <w:sz w:val="22"/>
                <w:szCs w:val="22"/>
                <w:lang w:eastAsia="en-GB"/>
              </w:rPr>
            </w:pPr>
            <w:r>
              <w:rPr>
                <w:rFonts w:cs="Arial"/>
                <w:sz w:val="22"/>
                <w:szCs w:val="22"/>
                <w:lang w:eastAsia="en-GB"/>
              </w:rPr>
              <w:t>0.53</w:t>
            </w:r>
          </w:p>
        </w:tc>
      </w:tr>
      <w:tr w:rsidR="00EF0B5B" w:rsidRPr="00AA6F7F" w:rsidTr="0098278E">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sz w:val="22"/>
                <w:szCs w:val="22"/>
                <w:lang w:eastAsia="en-GB"/>
              </w:rPr>
            </w:pPr>
            <w:r w:rsidRPr="00AA6F7F">
              <w:rPr>
                <w:rFonts w:cs="Arial"/>
                <w:sz w:val="22"/>
                <w:szCs w:val="22"/>
                <w:lang w:eastAsia="en-GB"/>
              </w:rPr>
              <w:t>Variable Interest Investments</w:t>
            </w:r>
          </w:p>
        </w:tc>
        <w:tc>
          <w:tcPr>
            <w:tcW w:w="1228"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sz w:val="22"/>
                <w:szCs w:val="22"/>
                <w:lang w:eastAsia="en-GB"/>
              </w:rPr>
            </w:pPr>
            <w:r w:rsidRPr="00AA6F7F">
              <w:rPr>
                <w:rFonts w:cs="Arial"/>
                <w:sz w:val="22"/>
                <w:szCs w:val="22"/>
                <w:lang w:eastAsia="en-GB"/>
              </w:rPr>
              <w:t>14,353</w:t>
            </w:r>
          </w:p>
        </w:tc>
        <w:tc>
          <w:tcPr>
            <w:tcW w:w="1086"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sz w:val="22"/>
                <w:szCs w:val="22"/>
                <w:lang w:eastAsia="en-GB"/>
              </w:rPr>
            </w:pPr>
            <w:r w:rsidRPr="00AA6F7F">
              <w:rPr>
                <w:rFonts w:cs="Arial"/>
                <w:sz w:val="22"/>
                <w:szCs w:val="22"/>
                <w:lang w:eastAsia="en-GB"/>
              </w:rPr>
              <w:t>0.37</w:t>
            </w:r>
          </w:p>
        </w:tc>
        <w:tc>
          <w:tcPr>
            <w:tcW w:w="1146" w:type="dxa"/>
            <w:tcBorders>
              <w:top w:val="nil"/>
              <w:left w:val="nil"/>
              <w:bottom w:val="nil"/>
              <w:right w:val="single" w:sz="4" w:space="0" w:color="auto"/>
            </w:tcBorders>
            <w:shd w:val="clear" w:color="auto" w:fill="auto"/>
            <w:noWrap/>
            <w:vAlign w:val="bottom"/>
          </w:tcPr>
          <w:p w:rsidR="00737EAE" w:rsidRPr="00AA6F7F" w:rsidRDefault="00BC538F" w:rsidP="00BC538F">
            <w:pPr>
              <w:jc w:val="right"/>
              <w:rPr>
                <w:rFonts w:cs="Arial"/>
                <w:sz w:val="22"/>
                <w:szCs w:val="22"/>
                <w:lang w:eastAsia="en-GB"/>
              </w:rPr>
            </w:pPr>
            <w:r w:rsidRPr="00AA6F7F">
              <w:rPr>
                <w:rFonts w:cs="Arial"/>
                <w:sz w:val="22"/>
                <w:szCs w:val="22"/>
                <w:lang w:eastAsia="en-GB"/>
              </w:rPr>
              <w:t>5,8</w:t>
            </w:r>
            <w:r w:rsidR="00F40076" w:rsidRPr="00AA6F7F">
              <w:rPr>
                <w:rFonts w:cs="Arial"/>
                <w:sz w:val="22"/>
                <w:szCs w:val="22"/>
                <w:lang w:eastAsia="en-GB"/>
              </w:rPr>
              <w:t>90</w:t>
            </w:r>
          </w:p>
        </w:tc>
        <w:tc>
          <w:tcPr>
            <w:tcW w:w="1263" w:type="dxa"/>
            <w:tcBorders>
              <w:top w:val="nil"/>
              <w:left w:val="nil"/>
              <w:bottom w:val="nil"/>
              <w:right w:val="single" w:sz="4" w:space="0" w:color="auto"/>
            </w:tcBorders>
            <w:shd w:val="clear" w:color="auto" w:fill="auto"/>
            <w:noWrap/>
            <w:vAlign w:val="bottom"/>
          </w:tcPr>
          <w:p w:rsidR="00737EAE" w:rsidRPr="00AA6F7F" w:rsidRDefault="00F40076" w:rsidP="00D53D7A">
            <w:pPr>
              <w:jc w:val="right"/>
              <w:rPr>
                <w:rFonts w:cs="Arial"/>
                <w:sz w:val="22"/>
                <w:szCs w:val="22"/>
                <w:lang w:eastAsia="en-GB"/>
              </w:rPr>
            </w:pPr>
            <w:r w:rsidRPr="00AA6F7F">
              <w:rPr>
                <w:rFonts w:cs="Arial"/>
                <w:sz w:val="22"/>
                <w:szCs w:val="22"/>
                <w:lang w:eastAsia="en-GB"/>
              </w:rPr>
              <w:t>0.42</w:t>
            </w:r>
          </w:p>
        </w:tc>
      </w:tr>
      <w:tr w:rsidR="00EF0B5B" w:rsidRPr="00AA6F7F" w:rsidTr="004A68F5">
        <w:trPr>
          <w:trHeight w:val="300"/>
        </w:trPr>
        <w:tc>
          <w:tcPr>
            <w:tcW w:w="3220" w:type="dxa"/>
            <w:tcBorders>
              <w:top w:val="nil"/>
              <w:left w:val="single" w:sz="4" w:space="0" w:color="auto"/>
              <w:bottom w:val="nil"/>
              <w:right w:val="single" w:sz="4" w:space="0" w:color="auto"/>
            </w:tcBorders>
            <w:shd w:val="clear" w:color="auto" w:fill="auto"/>
            <w:noWrap/>
            <w:vAlign w:val="bottom"/>
          </w:tcPr>
          <w:p w:rsidR="00A84EE4" w:rsidRPr="001F381C" w:rsidRDefault="00A84EE4" w:rsidP="00D53D7A">
            <w:pPr>
              <w:rPr>
                <w:rFonts w:cs="Arial"/>
                <w:bCs/>
                <w:sz w:val="22"/>
                <w:szCs w:val="22"/>
                <w:lang w:eastAsia="en-GB"/>
              </w:rPr>
            </w:pPr>
            <w:r w:rsidRPr="001F381C">
              <w:rPr>
                <w:rFonts w:cs="Arial"/>
                <w:bCs/>
                <w:sz w:val="22"/>
                <w:szCs w:val="22"/>
                <w:lang w:eastAsia="en-GB"/>
              </w:rPr>
              <w:t>Property Funds</w:t>
            </w:r>
          </w:p>
        </w:tc>
        <w:tc>
          <w:tcPr>
            <w:tcW w:w="1228" w:type="dxa"/>
            <w:tcBorders>
              <w:top w:val="nil"/>
              <w:left w:val="nil"/>
              <w:bottom w:val="nil"/>
              <w:right w:val="single" w:sz="4" w:space="0" w:color="auto"/>
            </w:tcBorders>
            <w:shd w:val="clear" w:color="auto" w:fill="auto"/>
            <w:noWrap/>
            <w:vAlign w:val="bottom"/>
          </w:tcPr>
          <w:p w:rsidR="00A84EE4" w:rsidRPr="001F381C" w:rsidRDefault="00F40076" w:rsidP="005E3247">
            <w:pPr>
              <w:jc w:val="right"/>
              <w:rPr>
                <w:rFonts w:cs="Arial"/>
                <w:bCs/>
                <w:sz w:val="22"/>
                <w:szCs w:val="22"/>
                <w:lang w:eastAsia="en-GB"/>
              </w:rPr>
            </w:pPr>
            <w:r w:rsidRPr="001F381C">
              <w:rPr>
                <w:rFonts w:cs="Arial"/>
                <w:bCs/>
                <w:sz w:val="22"/>
                <w:szCs w:val="22"/>
                <w:lang w:eastAsia="en-GB"/>
              </w:rPr>
              <w:t>2,870</w:t>
            </w:r>
          </w:p>
        </w:tc>
        <w:tc>
          <w:tcPr>
            <w:tcW w:w="1086" w:type="dxa"/>
            <w:tcBorders>
              <w:top w:val="nil"/>
              <w:left w:val="nil"/>
              <w:bottom w:val="nil"/>
              <w:right w:val="single" w:sz="4" w:space="0" w:color="auto"/>
            </w:tcBorders>
            <w:shd w:val="clear" w:color="auto" w:fill="auto"/>
            <w:noWrap/>
            <w:vAlign w:val="bottom"/>
          </w:tcPr>
          <w:p w:rsidR="00A84EE4" w:rsidRPr="001F381C" w:rsidRDefault="001F381C" w:rsidP="005E3247">
            <w:pPr>
              <w:jc w:val="right"/>
              <w:rPr>
                <w:rFonts w:cs="Arial"/>
                <w:bCs/>
                <w:sz w:val="22"/>
                <w:szCs w:val="22"/>
                <w:lang w:eastAsia="en-GB"/>
              </w:rPr>
            </w:pPr>
            <w:r w:rsidRPr="001F381C">
              <w:rPr>
                <w:rFonts w:cs="Arial"/>
                <w:bCs/>
                <w:sz w:val="22"/>
                <w:szCs w:val="22"/>
                <w:lang w:eastAsia="en-GB"/>
              </w:rPr>
              <w:t>6</w:t>
            </w:r>
            <w:r w:rsidR="001B7647" w:rsidRPr="001F381C">
              <w:rPr>
                <w:rFonts w:cs="Arial"/>
                <w:bCs/>
                <w:sz w:val="22"/>
                <w:szCs w:val="22"/>
                <w:lang w:eastAsia="en-GB"/>
              </w:rPr>
              <w:t>.00</w:t>
            </w:r>
          </w:p>
        </w:tc>
        <w:tc>
          <w:tcPr>
            <w:tcW w:w="1146" w:type="dxa"/>
            <w:tcBorders>
              <w:top w:val="nil"/>
              <w:left w:val="nil"/>
              <w:bottom w:val="nil"/>
              <w:right w:val="single" w:sz="4" w:space="0" w:color="auto"/>
            </w:tcBorders>
            <w:shd w:val="clear" w:color="auto" w:fill="auto"/>
            <w:noWrap/>
            <w:vAlign w:val="bottom"/>
          </w:tcPr>
          <w:p w:rsidR="00A84EE4" w:rsidRPr="001F381C" w:rsidRDefault="00BA6523" w:rsidP="00BC538F">
            <w:pPr>
              <w:jc w:val="right"/>
              <w:rPr>
                <w:rFonts w:cs="Arial"/>
                <w:bCs/>
                <w:sz w:val="22"/>
                <w:szCs w:val="22"/>
                <w:lang w:eastAsia="en-GB"/>
              </w:rPr>
            </w:pPr>
            <w:r w:rsidRPr="001F381C">
              <w:rPr>
                <w:rFonts w:cs="Arial"/>
                <w:bCs/>
                <w:sz w:val="22"/>
                <w:szCs w:val="22"/>
                <w:lang w:eastAsia="en-GB"/>
              </w:rPr>
              <w:t>9</w:t>
            </w:r>
            <w:r w:rsidR="00BC538F" w:rsidRPr="001F381C">
              <w:rPr>
                <w:rFonts w:cs="Arial"/>
                <w:bCs/>
                <w:sz w:val="22"/>
                <w:szCs w:val="22"/>
                <w:lang w:eastAsia="en-GB"/>
              </w:rPr>
              <w:t>,</w:t>
            </w:r>
            <w:r w:rsidRPr="001F381C">
              <w:rPr>
                <w:rFonts w:cs="Arial"/>
                <w:bCs/>
                <w:sz w:val="22"/>
                <w:szCs w:val="22"/>
                <w:lang w:eastAsia="en-GB"/>
              </w:rPr>
              <w:t>8</w:t>
            </w:r>
            <w:r w:rsidR="00BC538F" w:rsidRPr="001F381C">
              <w:rPr>
                <w:rFonts w:cs="Arial"/>
                <w:bCs/>
                <w:sz w:val="22"/>
                <w:szCs w:val="22"/>
                <w:lang w:eastAsia="en-GB"/>
              </w:rPr>
              <w:t>00</w:t>
            </w:r>
          </w:p>
        </w:tc>
        <w:tc>
          <w:tcPr>
            <w:tcW w:w="1263" w:type="dxa"/>
            <w:tcBorders>
              <w:top w:val="nil"/>
              <w:left w:val="nil"/>
              <w:bottom w:val="nil"/>
              <w:right w:val="single" w:sz="4" w:space="0" w:color="auto"/>
            </w:tcBorders>
            <w:shd w:val="clear" w:color="auto" w:fill="auto"/>
            <w:noWrap/>
            <w:vAlign w:val="bottom"/>
          </w:tcPr>
          <w:p w:rsidR="00A84EE4" w:rsidRPr="00AA6F7F" w:rsidRDefault="00BC538F" w:rsidP="00D53D7A">
            <w:pPr>
              <w:jc w:val="right"/>
              <w:rPr>
                <w:rFonts w:cs="Arial"/>
                <w:bCs/>
                <w:sz w:val="22"/>
                <w:szCs w:val="22"/>
                <w:lang w:eastAsia="en-GB"/>
              </w:rPr>
            </w:pPr>
            <w:r w:rsidRPr="001F381C">
              <w:rPr>
                <w:rFonts w:cs="Arial"/>
                <w:bCs/>
                <w:sz w:val="22"/>
                <w:szCs w:val="22"/>
                <w:lang w:eastAsia="en-GB"/>
              </w:rPr>
              <w:t>6</w:t>
            </w:r>
            <w:r w:rsidR="00EF0B5B" w:rsidRPr="001F381C">
              <w:rPr>
                <w:rFonts w:cs="Arial"/>
                <w:bCs/>
                <w:sz w:val="22"/>
                <w:szCs w:val="22"/>
                <w:lang w:eastAsia="en-GB"/>
              </w:rPr>
              <w:t>.00</w:t>
            </w:r>
          </w:p>
        </w:tc>
      </w:tr>
      <w:tr w:rsidR="00EF0B5B" w:rsidRPr="00AA6F7F" w:rsidTr="0098278E">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b/>
                <w:bCs/>
                <w:sz w:val="22"/>
                <w:szCs w:val="22"/>
                <w:lang w:eastAsia="en-GB"/>
              </w:rPr>
            </w:pPr>
            <w:r w:rsidRPr="00AA6F7F">
              <w:rPr>
                <w:rFonts w:cs="Arial"/>
                <w:b/>
                <w:bCs/>
                <w:sz w:val="22"/>
                <w:szCs w:val="22"/>
                <w:lang w:eastAsia="en-GB"/>
              </w:rPr>
              <w:t>Total Investments</w:t>
            </w:r>
          </w:p>
        </w:tc>
        <w:tc>
          <w:tcPr>
            <w:tcW w:w="1228"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b/>
                <w:bCs/>
                <w:sz w:val="22"/>
                <w:szCs w:val="22"/>
                <w:lang w:eastAsia="en-GB"/>
              </w:rPr>
            </w:pPr>
            <w:r w:rsidRPr="00AA6F7F">
              <w:rPr>
                <w:rFonts w:cs="Arial"/>
                <w:b/>
                <w:bCs/>
                <w:sz w:val="22"/>
                <w:szCs w:val="22"/>
                <w:lang w:eastAsia="en-GB"/>
              </w:rPr>
              <w:t>64,664</w:t>
            </w:r>
          </w:p>
        </w:tc>
        <w:tc>
          <w:tcPr>
            <w:tcW w:w="1086" w:type="dxa"/>
            <w:tcBorders>
              <w:top w:val="nil"/>
              <w:left w:val="nil"/>
              <w:bottom w:val="nil"/>
              <w:right w:val="single" w:sz="4" w:space="0" w:color="auto"/>
            </w:tcBorders>
            <w:shd w:val="clear" w:color="auto" w:fill="auto"/>
            <w:noWrap/>
            <w:vAlign w:val="bottom"/>
          </w:tcPr>
          <w:p w:rsidR="00737EAE" w:rsidRPr="00AA6F7F" w:rsidRDefault="00F40076" w:rsidP="005E3247">
            <w:pPr>
              <w:jc w:val="right"/>
              <w:rPr>
                <w:rFonts w:cs="Arial"/>
                <w:b/>
                <w:bCs/>
                <w:sz w:val="22"/>
                <w:szCs w:val="22"/>
                <w:lang w:eastAsia="en-GB"/>
              </w:rPr>
            </w:pPr>
            <w:r w:rsidRPr="00AA6F7F">
              <w:rPr>
                <w:rFonts w:cs="Arial"/>
                <w:b/>
                <w:bCs/>
                <w:sz w:val="22"/>
                <w:szCs w:val="22"/>
                <w:lang w:eastAsia="en-GB"/>
              </w:rPr>
              <w:t>0.92</w:t>
            </w:r>
          </w:p>
        </w:tc>
        <w:tc>
          <w:tcPr>
            <w:tcW w:w="1146" w:type="dxa"/>
            <w:tcBorders>
              <w:top w:val="nil"/>
              <w:left w:val="nil"/>
              <w:bottom w:val="nil"/>
              <w:right w:val="single" w:sz="4" w:space="0" w:color="auto"/>
            </w:tcBorders>
            <w:shd w:val="clear" w:color="auto" w:fill="auto"/>
            <w:noWrap/>
            <w:vAlign w:val="bottom"/>
          </w:tcPr>
          <w:p w:rsidR="00737EAE" w:rsidRPr="00AA6F7F" w:rsidRDefault="00BC538F" w:rsidP="00D53D7A">
            <w:pPr>
              <w:jc w:val="right"/>
              <w:rPr>
                <w:rFonts w:cs="Arial"/>
                <w:b/>
                <w:bCs/>
                <w:sz w:val="22"/>
                <w:szCs w:val="22"/>
                <w:lang w:eastAsia="en-GB"/>
              </w:rPr>
            </w:pPr>
            <w:r w:rsidRPr="00AA6F7F">
              <w:rPr>
                <w:rFonts w:cs="Arial"/>
                <w:b/>
                <w:bCs/>
                <w:sz w:val="22"/>
                <w:szCs w:val="22"/>
                <w:lang w:eastAsia="en-GB"/>
              </w:rPr>
              <w:t>50,890</w:t>
            </w:r>
          </w:p>
        </w:tc>
        <w:tc>
          <w:tcPr>
            <w:tcW w:w="1263" w:type="dxa"/>
            <w:tcBorders>
              <w:top w:val="nil"/>
              <w:left w:val="nil"/>
              <w:bottom w:val="nil"/>
              <w:right w:val="single" w:sz="4" w:space="0" w:color="auto"/>
            </w:tcBorders>
            <w:shd w:val="clear" w:color="auto" w:fill="auto"/>
            <w:noWrap/>
            <w:vAlign w:val="bottom"/>
          </w:tcPr>
          <w:p w:rsidR="00737EAE" w:rsidRPr="00AA6F7F" w:rsidRDefault="00BC538F" w:rsidP="00D53D7A">
            <w:pPr>
              <w:jc w:val="right"/>
              <w:rPr>
                <w:rFonts w:cs="Arial"/>
                <w:b/>
                <w:bCs/>
                <w:sz w:val="22"/>
                <w:szCs w:val="22"/>
                <w:lang w:eastAsia="en-GB"/>
              </w:rPr>
            </w:pPr>
            <w:r w:rsidRPr="00AA6F7F">
              <w:rPr>
                <w:rFonts w:cs="Arial"/>
                <w:b/>
                <w:bCs/>
                <w:sz w:val="22"/>
                <w:szCs w:val="22"/>
                <w:lang w:eastAsia="en-GB"/>
              </w:rPr>
              <w:t>1.18</w:t>
            </w:r>
          </w:p>
        </w:tc>
      </w:tr>
      <w:tr w:rsidR="00EF0B5B" w:rsidRPr="00AA6F7F" w:rsidTr="0098278E">
        <w:trPr>
          <w:trHeight w:val="285"/>
        </w:trPr>
        <w:tc>
          <w:tcPr>
            <w:tcW w:w="3220" w:type="dxa"/>
            <w:tcBorders>
              <w:top w:val="nil"/>
              <w:left w:val="single" w:sz="4" w:space="0" w:color="auto"/>
              <w:bottom w:val="nil"/>
              <w:right w:val="single" w:sz="4" w:space="0" w:color="auto"/>
            </w:tcBorders>
            <w:shd w:val="clear" w:color="auto" w:fill="auto"/>
            <w:noWrap/>
            <w:vAlign w:val="bottom"/>
            <w:hideMark/>
          </w:tcPr>
          <w:p w:rsidR="00737EAE" w:rsidRPr="00AA6F7F" w:rsidRDefault="00737EAE" w:rsidP="00D53D7A">
            <w:pPr>
              <w:rPr>
                <w:rFonts w:cs="Arial"/>
                <w:sz w:val="22"/>
                <w:szCs w:val="22"/>
                <w:lang w:eastAsia="en-GB"/>
              </w:rPr>
            </w:pPr>
            <w:r w:rsidRPr="00AA6F7F">
              <w:rPr>
                <w:rFonts w:cs="Arial"/>
                <w:sz w:val="22"/>
                <w:szCs w:val="22"/>
                <w:lang w:eastAsia="en-GB"/>
              </w:rPr>
              <w:t> </w:t>
            </w:r>
          </w:p>
        </w:tc>
        <w:tc>
          <w:tcPr>
            <w:tcW w:w="1228" w:type="dxa"/>
            <w:tcBorders>
              <w:top w:val="nil"/>
              <w:left w:val="nil"/>
              <w:bottom w:val="nil"/>
              <w:right w:val="single" w:sz="4" w:space="0" w:color="auto"/>
            </w:tcBorders>
            <w:shd w:val="clear" w:color="auto" w:fill="auto"/>
            <w:noWrap/>
            <w:vAlign w:val="bottom"/>
          </w:tcPr>
          <w:p w:rsidR="00737EAE" w:rsidRPr="00AA6F7F" w:rsidRDefault="00737EAE" w:rsidP="005E3247">
            <w:pPr>
              <w:rPr>
                <w:rFonts w:cs="Arial"/>
                <w:sz w:val="22"/>
                <w:szCs w:val="22"/>
                <w:lang w:eastAsia="en-GB"/>
              </w:rPr>
            </w:pPr>
          </w:p>
        </w:tc>
        <w:tc>
          <w:tcPr>
            <w:tcW w:w="1086"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c>
          <w:tcPr>
            <w:tcW w:w="1146"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c>
          <w:tcPr>
            <w:tcW w:w="1263" w:type="dxa"/>
            <w:tcBorders>
              <w:top w:val="nil"/>
              <w:left w:val="nil"/>
              <w:bottom w:val="nil"/>
              <w:right w:val="single" w:sz="4" w:space="0" w:color="auto"/>
            </w:tcBorders>
            <w:shd w:val="clear" w:color="auto" w:fill="auto"/>
            <w:noWrap/>
            <w:vAlign w:val="bottom"/>
          </w:tcPr>
          <w:p w:rsidR="00737EAE" w:rsidRPr="00AA6F7F" w:rsidRDefault="00737EAE" w:rsidP="00D53D7A">
            <w:pPr>
              <w:rPr>
                <w:rFonts w:cs="Arial"/>
                <w:sz w:val="22"/>
                <w:szCs w:val="22"/>
                <w:lang w:eastAsia="en-GB"/>
              </w:rPr>
            </w:pPr>
          </w:p>
        </w:tc>
      </w:tr>
      <w:tr w:rsidR="00EF0B5B" w:rsidRPr="00AA6F7F" w:rsidTr="0098278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37EAE" w:rsidRPr="00AA6F7F" w:rsidRDefault="00737EAE" w:rsidP="00D53D7A">
            <w:pPr>
              <w:rPr>
                <w:rFonts w:cs="Arial"/>
                <w:b/>
                <w:bCs/>
                <w:sz w:val="22"/>
                <w:szCs w:val="22"/>
                <w:lang w:eastAsia="en-GB"/>
              </w:rPr>
            </w:pPr>
            <w:r w:rsidRPr="00AA6F7F">
              <w:rPr>
                <w:rFonts w:cs="Arial"/>
                <w:b/>
                <w:bCs/>
                <w:sz w:val="22"/>
                <w:szCs w:val="22"/>
                <w:lang w:eastAsia="en-GB"/>
              </w:rPr>
              <w:t>Net Position</w:t>
            </w:r>
          </w:p>
        </w:tc>
        <w:tc>
          <w:tcPr>
            <w:tcW w:w="1228" w:type="dxa"/>
            <w:tcBorders>
              <w:top w:val="nil"/>
              <w:left w:val="nil"/>
              <w:bottom w:val="single" w:sz="4" w:space="0" w:color="auto"/>
              <w:right w:val="single" w:sz="4" w:space="0" w:color="auto"/>
            </w:tcBorders>
            <w:shd w:val="clear" w:color="auto" w:fill="auto"/>
            <w:noWrap/>
            <w:vAlign w:val="bottom"/>
          </w:tcPr>
          <w:p w:rsidR="00737EAE" w:rsidRPr="00AA6F7F" w:rsidRDefault="00F40076" w:rsidP="005E3247">
            <w:pPr>
              <w:jc w:val="right"/>
              <w:rPr>
                <w:rFonts w:cs="Arial"/>
                <w:b/>
                <w:bCs/>
                <w:sz w:val="22"/>
                <w:szCs w:val="22"/>
                <w:lang w:eastAsia="en-GB"/>
              </w:rPr>
            </w:pPr>
            <w:r w:rsidRPr="00AA6F7F">
              <w:rPr>
                <w:rFonts w:cs="Arial"/>
                <w:b/>
                <w:bCs/>
                <w:sz w:val="22"/>
                <w:szCs w:val="22"/>
                <w:lang w:eastAsia="en-GB"/>
              </w:rPr>
              <w:t>135,776</w:t>
            </w:r>
          </w:p>
        </w:tc>
        <w:tc>
          <w:tcPr>
            <w:tcW w:w="1086" w:type="dxa"/>
            <w:tcBorders>
              <w:top w:val="nil"/>
              <w:left w:val="nil"/>
              <w:bottom w:val="single" w:sz="4" w:space="0" w:color="auto"/>
              <w:right w:val="single" w:sz="4" w:space="0" w:color="auto"/>
            </w:tcBorders>
            <w:shd w:val="clear" w:color="auto" w:fill="auto"/>
            <w:noWrap/>
            <w:vAlign w:val="bottom"/>
          </w:tcPr>
          <w:p w:rsidR="00737EAE" w:rsidRPr="00AA6F7F" w:rsidRDefault="00737EAE" w:rsidP="00F40076">
            <w:pPr>
              <w:rPr>
                <w:rFonts w:cs="Arial"/>
                <w:b/>
                <w:bCs/>
                <w:sz w:val="22"/>
                <w:szCs w:val="22"/>
                <w:lang w:eastAsia="en-GB"/>
              </w:rPr>
            </w:pPr>
          </w:p>
        </w:tc>
        <w:tc>
          <w:tcPr>
            <w:tcW w:w="1146" w:type="dxa"/>
            <w:tcBorders>
              <w:top w:val="nil"/>
              <w:left w:val="nil"/>
              <w:bottom w:val="single" w:sz="4" w:space="0" w:color="auto"/>
              <w:right w:val="single" w:sz="4" w:space="0" w:color="auto"/>
            </w:tcBorders>
            <w:shd w:val="clear" w:color="auto" w:fill="auto"/>
            <w:noWrap/>
            <w:vAlign w:val="bottom"/>
          </w:tcPr>
          <w:p w:rsidR="00737EAE" w:rsidRPr="00AA6F7F" w:rsidRDefault="00BC538F" w:rsidP="00E151A3">
            <w:pPr>
              <w:jc w:val="right"/>
              <w:rPr>
                <w:rFonts w:cs="Arial"/>
                <w:b/>
                <w:bCs/>
                <w:sz w:val="22"/>
                <w:szCs w:val="22"/>
                <w:lang w:eastAsia="en-GB"/>
              </w:rPr>
            </w:pPr>
            <w:r w:rsidRPr="00AA6F7F">
              <w:rPr>
                <w:rFonts w:cs="Arial"/>
                <w:b/>
                <w:bCs/>
                <w:sz w:val="22"/>
                <w:szCs w:val="22"/>
                <w:lang w:eastAsia="en-GB"/>
              </w:rPr>
              <w:t>148,533</w:t>
            </w:r>
          </w:p>
        </w:tc>
        <w:tc>
          <w:tcPr>
            <w:tcW w:w="1263" w:type="dxa"/>
            <w:tcBorders>
              <w:top w:val="nil"/>
              <w:left w:val="nil"/>
              <w:bottom w:val="single" w:sz="4" w:space="0" w:color="auto"/>
              <w:right w:val="single" w:sz="4" w:space="0" w:color="auto"/>
            </w:tcBorders>
            <w:shd w:val="clear" w:color="auto" w:fill="auto"/>
            <w:noWrap/>
            <w:vAlign w:val="bottom"/>
          </w:tcPr>
          <w:p w:rsidR="00737EAE" w:rsidRPr="00AA6F7F" w:rsidRDefault="00737EAE" w:rsidP="00D53D7A">
            <w:pPr>
              <w:rPr>
                <w:rFonts w:cs="Arial"/>
                <w:b/>
                <w:bCs/>
                <w:sz w:val="22"/>
                <w:szCs w:val="22"/>
                <w:lang w:eastAsia="en-GB"/>
              </w:rPr>
            </w:pPr>
          </w:p>
        </w:tc>
      </w:tr>
    </w:tbl>
    <w:p w:rsidR="00BC6A1E" w:rsidRPr="00AA6F7F" w:rsidRDefault="00BC6A1E" w:rsidP="00BC6A1E">
      <w:pPr>
        <w:ind w:left="360"/>
        <w:rPr>
          <w:b/>
        </w:rPr>
      </w:pPr>
    </w:p>
    <w:p w:rsidR="00BC6A1E" w:rsidRPr="00A937AD" w:rsidRDefault="00BC6A1E" w:rsidP="00681D0D">
      <w:pPr>
        <w:ind w:firstLine="502"/>
        <w:jc w:val="both"/>
        <w:rPr>
          <w:b/>
        </w:rPr>
      </w:pPr>
      <w:r w:rsidRPr="00A937AD">
        <w:rPr>
          <w:b/>
        </w:rPr>
        <w:t>Prudential Indicators and Compliance Issues</w:t>
      </w:r>
    </w:p>
    <w:p w:rsidR="00BC6A1E" w:rsidRPr="00A937AD" w:rsidRDefault="00BC6A1E" w:rsidP="00BC1A13">
      <w:pPr>
        <w:numPr>
          <w:ilvl w:val="0"/>
          <w:numId w:val="3"/>
        </w:numPr>
        <w:ind w:hanging="502"/>
      </w:pPr>
      <w:r w:rsidRPr="00A937AD">
        <w:t xml:space="preserve">Some of the prudential indicators provide an overview, others a </w:t>
      </w:r>
      <w:r w:rsidR="00CD255E" w:rsidRPr="00A937AD">
        <w:t>s</w:t>
      </w:r>
      <w:r w:rsidRPr="00A937AD">
        <w:t>pecific limit on treasury activity.  These are detailed below:</w:t>
      </w:r>
    </w:p>
    <w:p w:rsidR="00BC6A1E" w:rsidRPr="00AA6F7F" w:rsidRDefault="00BC6A1E" w:rsidP="004E160A">
      <w:pPr>
        <w:pStyle w:val="ListParagraph"/>
      </w:pPr>
    </w:p>
    <w:p w:rsidR="00BC6A1E" w:rsidRPr="00AA6F7F" w:rsidRDefault="00786C5B" w:rsidP="00BC1A13">
      <w:pPr>
        <w:numPr>
          <w:ilvl w:val="0"/>
          <w:numId w:val="3"/>
        </w:numPr>
        <w:ind w:hanging="502"/>
      </w:pPr>
      <w:r w:rsidRPr="00151A6A">
        <w:rPr>
          <w:b/>
          <w:i/>
        </w:rPr>
        <w:t>Net Borrowing and the CFR</w:t>
      </w:r>
      <w:r w:rsidRPr="00645740">
        <w:t xml:space="preserve"> – In order to ensure that borrowing levels </w:t>
      </w:r>
      <w:r w:rsidRPr="001F381C">
        <w:t>are prudent, the Council’s external borrowing</w:t>
      </w:r>
      <w:r w:rsidR="00681D0D" w:rsidRPr="001F381C">
        <w:t xml:space="preserve"> (</w:t>
      </w:r>
      <w:r w:rsidRPr="001F381C">
        <w:t>net of investments</w:t>
      </w:r>
      <w:r w:rsidR="00681D0D" w:rsidRPr="001F381C">
        <w:t>) over the medium-term</w:t>
      </w:r>
      <w:r w:rsidRPr="00CE07AA">
        <w:t xml:space="preserve"> must only be for a capital purpose</w:t>
      </w:r>
      <w:r w:rsidR="004F0C9D" w:rsidRPr="001F381C">
        <w:t>, and not</w:t>
      </w:r>
      <w:r w:rsidRPr="001F381C">
        <w:t xml:space="preserve"> exceed the</w:t>
      </w:r>
      <w:r w:rsidRPr="00645740">
        <w:t xml:space="preserve"> CFR</w:t>
      </w:r>
      <w:r w:rsidR="00681D0D">
        <w:t xml:space="preserve"> except in the short-term</w:t>
      </w:r>
      <w:r w:rsidRPr="00645740">
        <w:t xml:space="preserve">.  </w:t>
      </w:r>
      <w:r w:rsidR="008C5DA7">
        <w:t xml:space="preserve">In the short term the Council can borrow for </w:t>
      </w:r>
      <w:proofErr w:type="spellStart"/>
      <w:r w:rsidR="008C5DA7">
        <w:t>cashflow</w:t>
      </w:r>
      <w:proofErr w:type="spellEnd"/>
      <w:r w:rsidR="008C5DA7">
        <w:t xml:space="preserve"> purposes, although</w:t>
      </w:r>
      <w:r w:rsidR="00EA2757">
        <w:t xml:space="preserve"> </w:t>
      </w:r>
      <w:r w:rsidR="00DC6992">
        <w:t>this has not been necessary</w:t>
      </w:r>
      <w:r w:rsidR="00EA2757">
        <w:t xml:space="preserve"> in recent </w:t>
      </w:r>
      <w:r w:rsidR="00EA2757">
        <w:lastRenderedPageBreak/>
        <w:t>years</w:t>
      </w:r>
      <w:r w:rsidR="008C5DA7">
        <w:t xml:space="preserve">.  </w:t>
      </w:r>
      <w:r w:rsidRPr="00645740">
        <w:t>Table 4 below highlights the Council’s net borrowing position against the CFR, and shows that it is significantly below the limit</w:t>
      </w:r>
      <w:r w:rsidR="00C463A7" w:rsidRPr="00645740">
        <w:t xml:space="preserve">, </w:t>
      </w:r>
      <w:r w:rsidR="0015325E">
        <w:t>due to the level</w:t>
      </w:r>
      <w:r w:rsidR="00C463A7" w:rsidRPr="00645740">
        <w:t xml:space="preserve"> of internal borrowing </w:t>
      </w:r>
      <w:r w:rsidR="0015325E">
        <w:t xml:space="preserve">that </w:t>
      </w:r>
      <w:r w:rsidR="00C463A7" w:rsidRPr="00AA6F7F">
        <w:t>has been undertaken.</w:t>
      </w:r>
      <w:r w:rsidRPr="00AA6F7F">
        <w:t xml:space="preserve"> </w:t>
      </w:r>
    </w:p>
    <w:p w:rsidR="00786C5B" w:rsidRPr="00AA6F7F" w:rsidRDefault="00786C5B" w:rsidP="00786C5B">
      <w:pPr>
        <w:pStyle w:val="ListParagraph"/>
      </w:pPr>
    </w:p>
    <w:p w:rsidR="00786C5B" w:rsidRPr="00FF623F" w:rsidRDefault="00786C5B" w:rsidP="00786C5B">
      <w:pPr>
        <w:ind w:left="360"/>
        <w:rPr>
          <w:b/>
        </w:rPr>
      </w:pPr>
      <w:r w:rsidRPr="00FF623F">
        <w:rPr>
          <w:b/>
        </w:rPr>
        <w:t>Table 4</w:t>
      </w:r>
    </w:p>
    <w:tbl>
      <w:tblPr>
        <w:tblW w:w="6300" w:type="dxa"/>
        <w:tblInd w:w="720" w:type="dxa"/>
        <w:tblLook w:val="04A0" w:firstRow="1" w:lastRow="0" w:firstColumn="1" w:lastColumn="0" w:noHBand="0" w:noVBand="1"/>
      </w:tblPr>
      <w:tblGrid>
        <w:gridCol w:w="3228"/>
        <w:gridCol w:w="1536"/>
        <w:gridCol w:w="1536"/>
      </w:tblGrid>
      <w:tr w:rsidR="00D53D7A" w:rsidRPr="00FF623F" w:rsidTr="00AA6F7F">
        <w:trPr>
          <w:trHeight w:val="600"/>
        </w:trPr>
        <w:tc>
          <w:tcPr>
            <w:tcW w:w="3228" w:type="dxa"/>
            <w:tcBorders>
              <w:top w:val="single" w:sz="4" w:space="0" w:color="auto"/>
              <w:left w:val="single" w:sz="4" w:space="0" w:color="auto"/>
              <w:bottom w:val="nil"/>
              <w:right w:val="nil"/>
            </w:tcBorders>
            <w:shd w:val="clear" w:color="000000" w:fill="D9D9D9"/>
            <w:noWrap/>
            <w:vAlign w:val="bottom"/>
            <w:hideMark/>
          </w:tcPr>
          <w:p w:rsidR="00D53D7A" w:rsidRPr="00FF623F" w:rsidRDefault="00D53D7A" w:rsidP="00D53D7A">
            <w:pPr>
              <w:rPr>
                <w:rFonts w:cs="Arial"/>
                <w:b/>
                <w:bCs/>
                <w:sz w:val="22"/>
                <w:szCs w:val="22"/>
                <w:lang w:eastAsia="en-GB"/>
              </w:rPr>
            </w:pPr>
            <w:r w:rsidRPr="00FF623F">
              <w:rPr>
                <w:rFonts w:cs="Arial"/>
                <w:b/>
                <w:bCs/>
                <w:sz w:val="22"/>
                <w:szCs w:val="22"/>
                <w:lang w:eastAsia="en-GB"/>
              </w:rPr>
              <w:t>Net Borrowing &amp; CFR</w:t>
            </w:r>
          </w:p>
        </w:tc>
        <w:tc>
          <w:tcPr>
            <w:tcW w:w="1536" w:type="dxa"/>
            <w:tcBorders>
              <w:top w:val="single" w:sz="4" w:space="0" w:color="auto"/>
              <w:left w:val="nil"/>
              <w:bottom w:val="nil"/>
              <w:right w:val="nil"/>
            </w:tcBorders>
            <w:shd w:val="clear" w:color="000000" w:fill="D9D9D9"/>
            <w:vAlign w:val="bottom"/>
            <w:hideMark/>
          </w:tcPr>
          <w:p w:rsidR="00D53D7A" w:rsidRPr="007F3806" w:rsidRDefault="00D53D7A" w:rsidP="005A0424">
            <w:pPr>
              <w:jc w:val="center"/>
              <w:rPr>
                <w:rFonts w:cs="Arial"/>
                <w:b/>
                <w:bCs/>
                <w:sz w:val="22"/>
                <w:szCs w:val="22"/>
                <w:lang w:eastAsia="en-GB"/>
              </w:rPr>
            </w:pPr>
            <w:r w:rsidRPr="007F3806">
              <w:rPr>
                <w:rFonts w:cs="Arial"/>
                <w:b/>
                <w:bCs/>
                <w:sz w:val="22"/>
                <w:szCs w:val="22"/>
                <w:lang w:eastAsia="en-GB"/>
              </w:rPr>
              <w:t>31st March 201</w:t>
            </w:r>
            <w:r w:rsidR="000F438B">
              <w:rPr>
                <w:rFonts w:cs="Arial"/>
                <w:b/>
                <w:bCs/>
                <w:sz w:val="22"/>
                <w:szCs w:val="22"/>
                <w:lang w:eastAsia="en-GB"/>
              </w:rPr>
              <w:t>4</w:t>
            </w:r>
          </w:p>
        </w:tc>
        <w:tc>
          <w:tcPr>
            <w:tcW w:w="1536" w:type="dxa"/>
            <w:tcBorders>
              <w:top w:val="single" w:sz="4" w:space="0" w:color="auto"/>
              <w:left w:val="nil"/>
              <w:bottom w:val="nil"/>
              <w:right w:val="single" w:sz="4" w:space="0" w:color="auto"/>
            </w:tcBorders>
            <w:shd w:val="clear" w:color="000000" w:fill="D9D9D9"/>
            <w:vAlign w:val="bottom"/>
            <w:hideMark/>
          </w:tcPr>
          <w:p w:rsidR="00D53D7A" w:rsidRPr="00FF623F" w:rsidRDefault="00D53D7A" w:rsidP="00C3052A">
            <w:pPr>
              <w:jc w:val="center"/>
              <w:rPr>
                <w:rFonts w:cs="Arial"/>
                <w:b/>
                <w:bCs/>
                <w:sz w:val="22"/>
                <w:szCs w:val="22"/>
                <w:lang w:eastAsia="en-GB"/>
              </w:rPr>
            </w:pPr>
            <w:r w:rsidRPr="00FF623F">
              <w:rPr>
                <w:rFonts w:cs="Arial"/>
                <w:b/>
                <w:bCs/>
                <w:sz w:val="22"/>
                <w:szCs w:val="22"/>
                <w:lang w:eastAsia="en-GB"/>
              </w:rPr>
              <w:t xml:space="preserve">31st March </w:t>
            </w:r>
            <w:r w:rsidR="00C3052A" w:rsidRPr="00FF623F">
              <w:rPr>
                <w:rFonts w:cs="Arial"/>
                <w:b/>
                <w:bCs/>
                <w:sz w:val="22"/>
                <w:szCs w:val="22"/>
                <w:lang w:eastAsia="en-GB"/>
              </w:rPr>
              <w:t>201</w:t>
            </w:r>
            <w:r w:rsidR="000F438B">
              <w:rPr>
                <w:rFonts w:cs="Arial"/>
                <w:b/>
                <w:bCs/>
                <w:sz w:val="22"/>
                <w:szCs w:val="22"/>
                <w:lang w:eastAsia="en-GB"/>
              </w:rPr>
              <w:t>5</w:t>
            </w:r>
          </w:p>
        </w:tc>
      </w:tr>
      <w:tr w:rsidR="00D53D7A" w:rsidRPr="00FF623F" w:rsidTr="00AA6F7F">
        <w:trPr>
          <w:trHeight w:val="300"/>
        </w:trPr>
        <w:tc>
          <w:tcPr>
            <w:tcW w:w="3228" w:type="dxa"/>
            <w:tcBorders>
              <w:top w:val="nil"/>
              <w:left w:val="single" w:sz="4" w:space="0" w:color="auto"/>
              <w:bottom w:val="nil"/>
              <w:right w:val="nil"/>
            </w:tcBorders>
            <w:shd w:val="clear" w:color="000000" w:fill="D9D9D9"/>
            <w:noWrap/>
            <w:vAlign w:val="bottom"/>
            <w:hideMark/>
          </w:tcPr>
          <w:p w:rsidR="00D53D7A" w:rsidRPr="00FF623F" w:rsidRDefault="00D53D7A" w:rsidP="00D53D7A">
            <w:pPr>
              <w:rPr>
                <w:rFonts w:cs="Arial"/>
                <w:b/>
                <w:bCs/>
                <w:sz w:val="22"/>
                <w:szCs w:val="22"/>
                <w:lang w:eastAsia="en-GB"/>
              </w:rPr>
            </w:pPr>
            <w:r w:rsidRPr="00FF623F">
              <w:rPr>
                <w:rFonts w:cs="Arial"/>
                <w:b/>
                <w:bCs/>
                <w:sz w:val="22"/>
                <w:szCs w:val="22"/>
                <w:lang w:eastAsia="en-GB"/>
              </w:rPr>
              <w:t> </w:t>
            </w:r>
          </w:p>
        </w:tc>
        <w:tc>
          <w:tcPr>
            <w:tcW w:w="1536" w:type="dxa"/>
            <w:tcBorders>
              <w:top w:val="nil"/>
              <w:left w:val="nil"/>
              <w:bottom w:val="nil"/>
              <w:right w:val="nil"/>
            </w:tcBorders>
            <w:shd w:val="clear" w:color="000000" w:fill="D9D9D9"/>
            <w:noWrap/>
            <w:vAlign w:val="bottom"/>
            <w:hideMark/>
          </w:tcPr>
          <w:p w:rsidR="00D53D7A" w:rsidRPr="007F3806" w:rsidRDefault="00D53D7A" w:rsidP="00D53D7A">
            <w:pPr>
              <w:jc w:val="center"/>
              <w:rPr>
                <w:rFonts w:cs="Arial"/>
                <w:b/>
                <w:bCs/>
                <w:sz w:val="22"/>
                <w:szCs w:val="22"/>
                <w:lang w:eastAsia="en-GB"/>
              </w:rPr>
            </w:pPr>
            <w:r w:rsidRPr="007F3806">
              <w:rPr>
                <w:rFonts w:cs="Arial"/>
                <w:b/>
                <w:bCs/>
                <w:sz w:val="22"/>
                <w:szCs w:val="22"/>
                <w:lang w:eastAsia="en-GB"/>
              </w:rPr>
              <w:t>Actual</w:t>
            </w:r>
          </w:p>
        </w:tc>
        <w:tc>
          <w:tcPr>
            <w:tcW w:w="1536" w:type="dxa"/>
            <w:tcBorders>
              <w:top w:val="nil"/>
              <w:left w:val="nil"/>
              <w:bottom w:val="nil"/>
              <w:right w:val="single" w:sz="4" w:space="0" w:color="auto"/>
            </w:tcBorders>
            <w:shd w:val="clear" w:color="000000" w:fill="D9D9D9"/>
            <w:noWrap/>
            <w:vAlign w:val="bottom"/>
            <w:hideMark/>
          </w:tcPr>
          <w:p w:rsidR="00D53D7A" w:rsidRPr="00FF623F" w:rsidRDefault="00D53D7A" w:rsidP="00D53D7A">
            <w:pPr>
              <w:jc w:val="center"/>
              <w:rPr>
                <w:rFonts w:cs="Arial"/>
                <w:b/>
                <w:bCs/>
                <w:sz w:val="22"/>
                <w:szCs w:val="22"/>
                <w:lang w:eastAsia="en-GB"/>
              </w:rPr>
            </w:pPr>
            <w:r w:rsidRPr="00FF623F">
              <w:rPr>
                <w:rFonts w:cs="Arial"/>
                <w:b/>
                <w:bCs/>
                <w:sz w:val="22"/>
                <w:szCs w:val="22"/>
                <w:lang w:eastAsia="en-GB"/>
              </w:rPr>
              <w:t>Actual</w:t>
            </w:r>
          </w:p>
        </w:tc>
      </w:tr>
      <w:tr w:rsidR="00D53D7A" w:rsidRPr="00FF623F" w:rsidTr="00AA6F7F">
        <w:trPr>
          <w:trHeight w:val="300"/>
        </w:trPr>
        <w:tc>
          <w:tcPr>
            <w:tcW w:w="3228" w:type="dxa"/>
            <w:tcBorders>
              <w:top w:val="nil"/>
              <w:left w:val="single" w:sz="4" w:space="0" w:color="auto"/>
              <w:bottom w:val="single" w:sz="4" w:space="0" w:color="auto"/>
              <w:right w:val="nil"/>
            </w:tcBorders>
            <w:shd w:val="clear" w:color="000000" w:fill="D9D9D9"/>
            <w:noWrap/>
            <w:vAlign w:val="bottom"/>
            <w:hideMark/>
          </w:tcPr>
          <w:p w:rsidR="00D53D7A" w:rsidRPr="00FF623F" w:rsidRDefault="00D53D7A" w:rsidP="00D53D7A">
            <w:pPr>
              <w:rPr>
                <w:rFonts w:cs="Arial"/>
                <w:b/>
                <w:bCs/>
                <w:sz w:val="22"/>
                <w:szCs w:val="22"/>
                <w:lang w:eastAsia="en-GB"/>
              </w:rPr>
            </w:pPr>
            <w:r w:rsidRPr="00FF623F">
              <w:rPr>
                <w:rFonts w:cs="Arial"/>
                <w:b/>
                <w:bCs/>
                <w:sz w:val="22"/>
                <w:szCs w:val="22"/>
                <w:lang w:eastAsia="en-GB"/>
              </w:rPr>
              <w:t> </w:t>
            </w:r>
          </w:p>
        </w:tc>
        <w:tc>
          <w:tcPr>
            <w:tcW w:w="1536" w:type="dxa"/>
            <w:tcBorders>
              <w:top w:val="nil"/>
              <w:left w:val="nil"/>
              <w:bottom w:val="single" w:sz="4" w:space="0" w:color="auto"/>
              <w:right w:val="nil"/>
            </w:tcBorders>
            <w:shd w:val="clear" w:color="000000" w:fill="D9D9D9"/>
            <w:noWrap/>
            <w:vAlign w:val="bottom"/>
            <w:hideMark/>
          </w:tcPr>
          <w:p w:rsidR="00D53D7A" w:rsidRPr="007F3806" w:rsidRDefault="00D53D7A" w:rsidP="00D53D7A">
            <w:pPr>
              <w:jc w:val="center"/>
              <w:rPr>
                <w:rFonts w:cs="Arial"/>
                <w:b/>
                <w:bCs/>
                <w:sz w:val="22"/>
                <w:szCs w:val="22"/>
                <w:lang w:eastAsia="en-GB"/>
              </w:rPr>
            </w:pPr>
            <w:r w:rsidRPr="007F3806">
              <w:rPr>
                <w:rFonts w:cs="Arial"/>
                <w:b/>
                <w:bCs/>
                <w:sz w:val="22"/>
                <w:szCs w:val="22"/>
                <w:lang w:eastAsia="en-GB"/>
              </w:rPr>
              <w:t>£'000</w:t>
            </w:r>
          </w:p>
        </w:tc>
        <w:tc>
          <w:tcPr>
            <w:tcW w:w="1536" w:type="dxa"/>
            <w:tcBorders>
              <w:top w:val="nil"/>
              <w:left w:val="nil"/>
              <w:bottom w:val="single" w:sz="4" w:space="0" w:color="auto"/>
              <w:right w:val="single" w:sz="4" w:space="0" w:color="auto"/>
            </w:tcBorders>
            <w:shd w:val="clear" w:color="000000" w:fill="D9D9D9"/>
            <w:noWrap/>
            <w:vAlign w:val="bottom"/>
            <w:hideMark/>
          </w:tcPr>
          <w:p w:rsidR="00D53D7A" w:rsidRPr="00FF623F" w:rsidRDefault="00D53D7A" w:rsidP="00D53D7A">
            <w:pPr>
              <w:jc w:val="center"/>
              <w:rPr>
                <w:rFonts w:cs="Arial"/>
                <w:b/>
                <w:bCs/>
                <w:sz w:val="22"/>
                <w:szCs w:val="22"/>
                <w:lang w:eastAsia="en-GB"/>
              </w:rPr>
            </w:pPr>
            <w:r w:rsidRPr="00FF623F">
              <w:rPr>
                <w:rFonts w:cs="Arial"/>
                <w:b/>
                <w:bCs/>
                <w:sz w:val="22"/>
                <w:szCs w:val="22"/>
                <w:lang w:eastAsia="en-GB"/>
              </w:rPr>
              <w:t>£'000</w:t>
            </w:r>
          </w:p>
        </w:tc>
      </w:tr>
      <w:tr w:rsidR="005A0424" w:rsidRPr="00FF623F" w:rsidTr="00AA6F7F">
        <w:trPr>
          <w:trHeight w:val="285"/>
        </w:trPr>
        <w:tc>
          <w:tcPr>
            <w:tcW w:w="3228" w:type="dxa"/>
            <w:tcBorders>
              <w:top w:val="nil"/>
              <w:left w:val="single" w:sz="4" w:space="0" w:color="auto"/>
              <w:bottom w:val="nil"/>
              <w:right w:val="nil"/>
            </w:tcBorders>
            <w:shd w:val="clear" w:color="auto" w:fill="auto"/>
            <w:noWrap/>
            <w:vAlign w:val="bottom"/>
            <w:hideMark/>
          </w:tcPr>
          <w:p w:rsidR="005A0424" w:rsidRPr="00FF623F" w:rsidRDefault="005A0424" w:rsidP="00D53D7A">
            <w:pPr>
              <w:rPr>
                <w:rFonts w:cs="Arial"/>
                <w:sz w:val="22"/>
                <w:szCs w:val="22"/>
                <w:lang w:eastAsia="en-GB"/>
              </w:rPr>
            </w:pPr>
            <w:r w:rsidRPr="00FF623F">
              <w:rPr>
                <w:rFonts w:cs="Arial"/>
                <w:sz w:val="22"/>
                <w:szCs w:val="22"/>
                <w:lang w:eastAsia="en-GB"/>
              </w:rPr>
              <w:t>Total Debt</w:t>
            </w:r>
          </w:p>
        </w:tc>
        <w:tc>
          <w:tcPr>
            <w:tcW w:w="1536" w:type="dxa"/>
            <w:tcBorders>
              <w:top w:val="nil"/>
              <w:left w:val="nil"/>
              <w:bottom w:val="nil"/>
              <w:right w:val="nil"/>
            </w:tcBorders>
            <w:shd w:val="clear" w:color="auto" w:fill="auto"/>
            <w:noWrap/>
            <w:vAlign w:val="bottom"/>
          </w:tcPr>
          <w:p w:rsidR="005A0424" w:rsidRPr="007F3806" w:rsidRDefault="000F438B" w:rsidP="00F034B5">
            <w:pPr>
              <w:jc w:val="right"/>
              <w:rPr>
                <w:rFonts w:cs="Arial"/>
                <w:sz w:val="22"/>
                <w:szCs w:val="22"/>
                <w:lang w:eastAsia="en-GB"/>
              </w:rPr>
            </w:pPr>
            <w:r>
              <w:rPr>
                <w:rFonts w:cs="Arial"/>
                <w:sz w:val="22"/>
                <w:szCs w:val="22"/>
                <w:lang w:eastAsia="en-GB"/>
              </w:rPr>
              <w:t>200,440</w:t>
            </w:r>
          </w:p>
        </w:tc>
        <w:tc>
          <w:tcPr>
            <w:tcW w:w="1536" w:type="dxa"/>
            <w:tcBorders>
              <w:top w:val="nil"/>
              <w:left w:val="nil"/>
              <w:bottom w:val="nil"/>
              <w:right w:val="single" w:sz="4" w:space="0" w:color="auto"/>
            </w:tcBorders>
            <w:shd w:val="clear" w:color="auto" w:fill="auto"/>
            <w:noWrap/>
            <w:vAlign w:val="bottom"/>
          </w:tcPr>
          <w:p w:rsidR="005A0424" w:rsidRPr="00FF623F" w:rsidRDefault="00C67C75" w:rsidP="00E151A3">
            <w:pPr>
              <w:jc w:val="right"/>
              <w:rPr>
                <w:rFonts w:cs="Arial"/>
                <w:sz w:val="22"/>
                <w:szCs w:val="22"/>
                <w:lang w:eastAsia="en-GB"/>
              </w:rPr>
            </w:pPr>
            <w:r>
              <w:rPr>
                <w:rFonts w:cs="Arial"/>
                <w:sz w:val="22"/>
                <w:szCs w:val="22"/>
                <w:lang w:eastAsia="en-GB"/>
              </w:rPr>
              <w:t>199,423</w:t>
            </w:r>
          </w:p>
        </w:tc>
      </w:tr>
      <w:tr w:rsidR="005A0424" w:rsidRPr="007B38CE" w:rsidTr="00AA6F7F">
        <w:trPr>
          <w:trHeight w:val="285"/>
        </w:trPr>
        <w:tc>
          <w:tcPr>
            <w:tcW w:w="3228" w:type="dxa"/>
            <w:tcBorders>
              <w:top w:val="nil"/>
              <w:left w:val="single" w:sz="4" w:space="0" w:color="auto"/>
              <w:bottom w:val="nil"/>
              <w:right w:val="nil"/>
            </w:tcBorders>
            <w:shd w:val="clear" w:color="auto" w:fill="auto"/>
            <w:noWrap/>
            <w:vAlign w:val="bottom"/>
            <w:hideMark/>
          </w:tcPr>
          <w:p w:rsidR="005A0424" w:rsidRPr="00FF623F" w:rsidRDefault="005A0424" w:rsidP="00D53D7A">
            <w:pPr>
              <w:rPr>
                <w:rFonts w:cs="Arial"/>
                <w:sz w:val="22"/>
                <w:szCs w:val="22"/>
                <w:lang w:eastAsia="en-GB"/>
              </w:rPr>
            </w:pPr>
            <w:r w:rsidRPr="00FF623F">
              <w:rPr>
                <w:rFonts w:cs="Arial"/>
                <w:sz w:val="22"/>
                <w:szCs w:val="22"/>
                <w:lang w:eastAsia="en-GB"/>
              </w:rPr>
              <w:t>Total Investment</w:t>
            </w:r>
          </w:p>
        </w:tc>
        <w:tc>
          <w:tcPr>
            <w:tcW w:w="1536" w:type="dxa"/>
            <w:tcBorders>
              <w:top w:val="nil"/>
              <w:left w:val="nil"/>
              <w:bottom w:val="nil"/>
              <w:right w:val="nil"/>
            </w:tcBorders>
            <w:shd w:val="clear" w:color="auto" w:fill="auto"/>
            <w:noWrap/>
            <w:vAlign w:val="bottom"/>
          </w:tcPr>
          <w:p w:rsidR="005A0424" w:rsidRPr="007F3806" w:rsidRDefault="000F438B" w:rsidP="00F034B5">
            <w:pPr>
              <w:jc w:val="right"/>
              <w:rPr>
                <w:rFonts w:cs="Arial"/>
                <w:sz w:val="22"/>
                <w:szCs w:val="22"/>
                <w:lang w:eastAsia="en-GB"/>
              </w:rPr>
            </w:pPr>
            <w:r>
              <w:rPr>
                <w:rFonts w:cs="Arial"/>
                <w:sz w:val="22"/>
                <w:szCs w:val="22"/>
                <w:lang w:eastAsia="en-GB"/>
              </w:rPr>
              <w:t>64,664</w:t>
            </w:r>
          </w:p>
        </w:tc>
        <w:tc>
          <w:tcPr>
            <w:tcW w:w="1536" w:type="dxa"/>
            <w:tcBorders>
              <w:top w:val="nil"/>
              <w:left w:val="nil"/>
              <w:bottom w:val="nil"/>
              <w:right w:val="single" w:sz="4" w:space="0" w:color="auto"/>
            </w:tcBorders>
            <w:shd w:val="clear" w:color="auto" w:fill="auto"/>
            <w:noWrap/>
            <w:vAlign w:val="bottom"/>
          </w:tcPr>
          <w:p w:rsidR="005A0424" w:rsidRPr="00F565F4" w:rsidRDefault="000F438B" w:rsidP="00F565F4">
            <w:pPr>
              <w:jc w:val="right"/>
              <w:rPr>
                <w:rFonts w:cs="Arial"/>
                <w:sz w:val="22"/>
                <w:szCs w:val="22"/>
                <w:lang w:eastAsia="en-GB"/>
              </w:rPr>
            </w:pPr>
            <w:r w:rsidRPr="00F565F4">
              <w:rPr>
                <w:rFonts w:cs="Arial"/>
                <w:sz w:val="22"/>
                <w:szCs w:val="22"/>
                <w:lang w:eastAsia="en-GB"/>
              </w:rPr>
              <w:t>5</w:t>
            </w:r>
            <w:r w:rsidR="00F565F4" w:rsidRPr="00F565F4">
              <w:rPr>
                <w:rFonts w:cs="Arial"/>
                <w:sz w:val="22"/>
                <w:szCs w:val="22"/>
                <w:lang w:eastAsia="en-GB"/>
              </w:rPr>
              <w:t>0</w:t>
            </w:r>
            <w:r w:rsidRPr="00F565F4">
              <w:rPr>
                <w:rFonts w:cs="Arial"/>
                <w:sz w:val="22"/>
                <w:szCs w:val="22"/>
                <w:lang w:eastAsia="en-GB"/>
              </w:rPr>
              <w:t>,</w:t>
            </w:r>
            <w:r w:rsidR="00F565F4" w:rsidRPr="00F565F4">
              <w:rPr>
                <w:rFonts w:cs="Arial"/>
                <w:sz w:val="22"/>
                <w:szCs w:val="22"/>
                <w:lang w:eastAsia="en-GB"/>
              </w:rPr>
              <w:t>890</w:t>
            </w:r>
          </w:p>
        </w:tc>
      </w:tr>
      <w:tr w:rsidR="005A0424" w:rsidRPr="00FF623F" w:rsidTr="00AA6F7F">
        <w:trPr>
          <w:trHeight w:val="300"/>
        </w:trPr>
        <w:tc>
          <w:tcPr>
            <w:tcW w:w="3228" w:type="dxa"/>
            <w:tcBorders>
              <w:top w:val="nil"/>
              <w:left w:val="single" w:sz="4" w:space="0" w:color="auto"/>
              <w:bottom w:val="nil"/>
              <w:right w:val="nil"/>
            </w:tcBorders>
            <w:shd w:val="clear" w:color="auto" w:fill="auto"/>
            <w:noWrap/>
            <w:vAlign w:val="bottom"/>
            <w:hideMark/>
          </w:tcPr>
          <w:p w:rsidR="005A0424" w:rsidRPr="00FF623F" w:rsidRDefault="005A0424" w:rsidP="00D53D7A">
            <w:pPr>
              <w:rPr>
                <w:rFonts w:cs="Arial"/>
                <w:b/>
                <w:bCs/>
                <w:sz w:val="22"/>
                <w:szCs w:val="22"/>
                <w:lang w:eastAsia="en-GB"/>
              </w:rPr>
            </w:pPr>
            <w:r w:rsidRPr="00FF623F">
              <w:rPr>
                <w:rFonts w:cs="Arial"/>
                <w:b/>
                <w:bCs/>
                <w:sz w:val="22"/>
                <w:szCs w:val="22"/>
                <w:lang w:eastAsia="en-GB"/>
              </w:rPr>
              <w:t>Net Borrowing Position</w:t>
            </w:r>
          </w:p>
        </w:tc>
        <w:tc>
          <w:tcPr>
            <w:tcW w:w="1536" w:type="dxa"/>
            <w:tcBorders>
              <w:top w:val="nil"/>
              <w:left w:val="nil"/>
              <w:bottom w:val="nil"/>
              <w:right w:val="nil"/>
            </w:tcBorders>
            <w:shd w:val="clear" w:color="auto" w:fill="auto"/>
            <w:noWrap/>
            <w:vAlign w:val="bottom"/>
          </w:tcPr>
          <w:p w:rsidR="005A0424" w:rsidRPr="007F3806" w:rsidRDefault="000F438B" w:rsidP="00F034B5">
            <w:pPr>
              <w:jc w:val="right"/>
              <w:rPr>
                <w:rFonts w:cs="Arial"/>
                <w:b/>
                <w:bCs/>
                <w:sz w:val="22"/>
                <w:szCs w:val="22"/>
                <w:lang w:eastAsia="en-GB"/>
              </w:rPr>
            </w:pPr>
            <w:r>
              <w:rPr>
                <w:rFonts w:cs="Arial"/>
                <w:b/>
                <w:bCs/>
                <w:sz w:val="22"/>
                <w:szCs w:val="22"/>
                <w:lang w:eastAsia="en-GB"/>
              </w:rPr>
              <w:t>135,776</w:t>
            </w:r>
          </w:p>
        </w:tc>
        <w:tc>
          <w:tcPr>
            <w:tcW w:w="1536" w:type="dxa"/>
            <w:tcBorders>
              <w:top w:val="nil"/>
              <w:left w:val="nil"/>
              <w:bottom w:val="nil"/>
              <w:right w:val="single" w:sz="4" w:space="0" w:color="auto"/>
            </w:tcBorders>
            <w:shd w:val="clear" w:color="auto" w:fill="auto"/>
            <w:noWrap/>
            <w:vAlign w:val="bottom"/>
          </w:tcPr>
          <w:p w:rsidR="005A0424" w:rsidRPr="00F565F4" w:rsidRDefault="00C67C75" w:rsidP="00F565F4">
            <w:pPr>
              <w:jc w:val="right"/>
              <w:rPr>
                <w:rFonts w:cs="Arial"/>
                <w:b/>
                <w:bCs/>
                <w:sz w:val="22"/>
                <w:szCs w:val="22"/>
                <w:lang w:eastAsia="en-GB"/>
              </w:rPr>
            </w:pPr>
            <w:r w:rsidRPr="00F565F4">
              <w:rPr>
                <w:rFonts w:cs="Arial"/>
                <w:b/>
                <w:bCs/>
                <w:sz w:val="22"/>
                <w:szCs w:val="22"/>
                <w:lang w:eastAsia="en-GB"/>
              </w:rPr>
              <w:t>148,</w:t>
            </w:r>
            <w:r w:rsidR="00F565F4" w:rsidRPr="00F565F4">
              <w:rPr>
                <w:rFonts w:cs="Arial"/>
                <w:b/>
                <w:bCs/>
                <w:sz w:val="22"/>
                <w:szCs w:val="22"/>
                <w:lang w:eastAsia="en-GB"/>
              </w:rPr>
              <w:t>533</w:t>
            </w:r>
          </w:p>
        </w:tc>
      </w:tr>
      <w:tr w:rsidR="005A0424" w:rsidRPr="00FF623F" w:rsidTr="00AA6F7F">
        <w:trPr>
          <w:trHeight w:val="285"/>
        </w:trPr>
        <w:tc>
          <w:tcPr>
            <w:tcW w:w="3228" w:type="dxa"/>
            <w:tcBorders>
              <w:top w:val="nil"/>
              <w:left w:val="single" w:sz="4" w:space="0" w:color="auto"/>
              <w:bottom w:val="nil"/>
              <w:right w:val="nil"/>
            </w:tcBorders>
            <w:shd w:val="clear" w:color="auto" w:fill="auto"/>
            <w:noWrap/>
            <w:vAlign w:val="bottom"/>
            <w:hideMark/>
          </w:tcPr>
          <w:p w:rsidR="005A0424" w:rsidRPr="00FF623F" w:rsidRDefault="005A0424" w:rsidP="00D53D7A">
            <w:pPr>
              <w:rPr>
                <w:rFonts w:cs="Arial"/>
                <w:sz w:val="22"/>
                <w:szCs w:val="22"/>
                <w:lang w:eastAsia="en-GB"/>
              </w:rPr>
            </w:pPr>
            <w:r w:rsidRPr="00FF623F">
              <w:rPr>
                <w:rFonts w:cs="Arial"/>
                <w:sz w:val="22"/>
                <w:szCs w:val="22"/>
                <w:lang w:eastAsia="en-GB"/>
              </w:rPr>
              <w:t> </w:t>
            </w:r>
          </w:p>
        </w:tc>
        <w:tc>
          <w:tcPr>
            <w:tcW w:w="1536" w:type="dxa"/>
            <w:tcBorders>
              <w:top w:val="nil"/>
              <w:left w:val="nil"/>
              <w:bottom w:val="nil"/>
              <w:right w:val="nil"/>
            </w:tcBorders>
            <w:shd w:val="clear" w:color="auto" w:fill="auto"/>
            <w:noWrap/>
            <w:vAlign w:val="bottom"/>
          </w:tcPr>
          <w:p w:rsidR="005A0424" w:rsidRPr="007F3806" w:rsidRDefault="005A0424" w:rsidP="00F034B5">
            <w:pPr>
              <w:rPr>
                <w:rFonts w:cs="Arial"/>
                <w:sz w:val="22"/>
                <w:szCs w:val="22"/>
                <w:lang w:eastAsia="en-GB"/>
              </w:rPr>
            </w:pPr>
          </w:p>
        </w:tc>
        <w:tc>
          <w:tcPr>
            <w:tcW w:w="1536" w:type="dxa"/>
            <w:tcBorders>
              <w:top w:val="nil"/>
              <w:left w:val="nil"/>
              <w:bottom w:val="nil"/>
              <w:right w:val="single" w:sz="4" w:space="0" w:color="auto"/>
            </w:tcBorders>
            <w:shd w:val="clear" w:color="auto" w:fill="auto"/>
            <w:noWrap/>
            <w:vAlign w:val="bottom"/>
          </w:tcPr>
          <w:p w:rsidR="005A0424" w:rsidRPr="00FF623F" w:rsidRDefault="005A0424" w:rsidP="00D53D7A">
            <w:pPr>
              <w:rPr>
                <w:rFonts w:cs="Arial"/>
                <w:sz w:val="22"/>
                <w:szCs w:val="22"/>
                <w:lang w:eastAsia="en-GB"/>
              </w:rPr>
            </w:pPr>
          </w:p>
        </w:tc>
      </w:tr>
      <w:tr w:rsidR="005A0424" w:rsidRPr="00FF623F" w:rsidTr="00AA6F7F">
        <w:trPr>
          <w:trHeight w:val="300"/>
        </w:trPr>
        <w:tc>
          <w:tcPr>
            <w:tcW w:w="3228" w:type="dxa"/>
            <w:tcBorders>
              <w:top w:val="nil"/>
              <w:left w:val="single" w:sz="4" w:space="0" w:color="auto"/>
              <w:bottom w:val="nil"/>
              <w:right w:val="nil"/>
            </w:tcBorders>
            <w:shd w:val="clear" w:color="auto" w:fill="auto"/>
            <w:noWrap/>
            <w:vAlign w:val="bottom"/>
            <w:hideMark/>
          </w:tcPr>
          <w:p w:rsidR="005A0424" w:rsidRPr="00FF623F" w:rsidRDefault="005A0424" w:rsidP="00D53D7A">
            <w:pPr>
              <w:rPr>
                <w:rFonts w:cs="Arial"/>
                <w:b/>
                <w:bCs/>
                <w:sz w:val="22"/>
                <w:szCs w:val="22"/>
                <w:lang w:eastAsia="en-GB"/>
              </w:rPr>
            </w:pPr>
            <w:r w:rsidRPr="00FF623F">
              <w:rPr>
                <w:rFonts w:cs="Arial"/>
                <w:b/>
                <w:bCs/>
                <w:sz w:val="22"/>
                <w:szCs w:val="22"/>
                <w:lang w:eastAsia="en-GB"/>
              </w:rPr>
              <w:t>CFR</w:t>
            </w:r>
          </w:p>
        </w:tc>
        <w:tc>
          <w:tcPr>
            <w:tcW w:w="1536" w:type="dxa"/>
            <w:tcBorders>
              <w:top w:val="nil"/>
              <w:left w:val="nil"/>
              <w:bottom w:val="nil"/>
              <w:right w:val="nil"/>
            </w:tcBorders>
            <w:shd w:val="clear" w:color="auto" w:fill="auto"/>
            <w:noWrap/>
            <w:vAlign w:val="bottom"/>
          </w:tcPr>
          <w:p w:rsidR="005A0424" w:rsidRPr="007F3806" w:rsidRDefault="000F438B" w:rsidP="00274FCE">
            <w:pPr>
              <w:jc w:val="right"/>
              <w:rPr>
                <w:rFonts w:cs="Arial"/>
                <w:b/>
                <w:bCs/>
                <w:sz w:val="22"/>
                <w:szCs w:val="22"/>
                <w:lang w:eastAsia="en-GB"/>
              </w:rPr>
            </w:pPr>
            <w:r>
              <w:rPr>
                <w:rFonts w:cs="Arial"/>
                <w:b/>
                <w:bCs/>
                <w:sz w:val="22"/>
                <w:szCs w:val="22"/>
                <w:lang w:eastAsia="en-GB"/>
              </w:rPr>
              <w:t>220,</w:t>
            </w:r>
            <w:r w:rsidR="00274FCE">
              <w:rPr>
                <w:rFonts w:cs="Arial"/>
                <w:b/>
                <w:bCs/>
                <w:sz w:val="22"/>
                <w:szCs w:val="22"/>
                <w:lang w:eastAsia="en-GB"/>
              </w:rPr>
              <w:t>550</w:t>
            </w:r>
          </w:p>
        </w:tc>
        <w:tc>
          <w:tcPr>
            <w:tcW w:w="1536" w:type="dxa"/>
            <w:tcBorders>
              <w:top w:val="nil"/>
              <w:left w:val="nil"/>
              <w:bottom w:val="nil"/>
              <w:right w:val="single" w:sz="4" w:space="0" w:color="auto"/>
            </w:tcBorders>
            <w:shd w:val="clear" w:color="auto" w:fill="auto"/>
            <w:noWrap/>
            <w:vAlign w:val="bottom"/>
          </w:tcPr>
          <w:p w:rsidR="005A0424" w:rsidRPr="00FF623F" w:rsidRDefault="000F438B" w:rsidP="00FD49EA">
            <w:pPr>
              <w:jc w:val="right"/>
              <w:rPr>
                <w:rFonts w:cs="Arial"/>
                <w:b/>
                <w:bCs/>
                <w:sz w:val="22"/>
                <w:szCs w:val="22"/>
                <w:lang w:eastAsia="en-GB"/>
              </w:rPr>
            </w:pPr>
            <w:r>
              <w:rPr>
                <w:rFonts w:cs="Arial"/>
                <w:b/>
                <w:bCs/>
                <w:sz w:val="22"/>
                <w:szCs w:val="22"/>
                <w:lang w:eastAsia="en-GB"/>
              </w:rPr>
              <w:t>200,641</w:t>
            </w:r>
          </w:p>
        </w:tc>
      </w:tr>
      <w:tr w:rsidR="005A0424" w:rsidRPr="00FF623F" w:rsidTr="00AA6F7F">
        <w:trPr>
          <w:trHeight w:val="300"/>
        </w:trPr>
        <w:tc>
          <w:tcPr>
            <w:tcW w:w="3228" w:type="dxa"/>
            <w:tcBorders>
              <w:top w:val="nil"/>
              <w:left w:val="single" w:sz="4" w:space="0" w:color="auto"/>
              <w:bottom w:val="single" w:sz="4" w:space="0" w:color="auto"/>
              <w:right w:val="nil"/>
            </w:tcBorders>
            <w:shd w:val="clear" w:color="auto" w:fill="auto"/>
            <w:noWrap/>
            <w:vAlign w:val="bottom"/>
            <w:hideMark/>
          </w:tcPr>
          <w:p w:rsidR="005A0424" w:rsidRPr="00FF623F" w:rsidRDefault="005A0424" w:rsidP="00D53D7A">
            <w:pPr>
              <w:rPr>
                <w:rFonts w:cs="Arial"/>
                <w:b/>
                <w:bCs/>
                <w:sz w:val="22"/>
                <w:szCs w:val="22"/>
                <w:lang w:eastAsia="en-GB"/>
              </w:rPr>
            </w:pPr>
            <w:r w:rsidRPr="00FF623F">
              <w:rPr>
                <w:rFonts w:cs="Arial"/>
                <w:b/>
                <w:bCs/>
                <w:sz w:val="22"/>
                <w:szCs w:val="22"/>
                <w:lang w:eastAsia="en-GB"/>
              </w:rPr>
              <w:t>Under Borrowing</w:t>
            </w:r>
          </w:p>
        </w:tc>
        <w:tc>
          <w:tcPr>
            <w:tcW w:w="1536" w:type="dxa"/>
            <w:tcBorders>
              <w:top w:val="nil"/>
              <w:left w:val="nil"/>
              <w:bottom w:val="single" w:sz="4" w:space="0" w:color="auto"/>
              <w:right w:val="nil"/>
            </w:tcBorders>
            <w:shd w:val="clear" w:color="auto" w:fill="auto"/>
            <w:noWrap/>
            <w:vAlign w:val="bottom"/>
          </w:tcPr>
          <w:p w:rsidR="005A0424" w:rsidRPr="007F3806" w:rsidRDefault="00EF0B5B" w:rsidP="00274FCE">
            <w:pPr>
              <w:jc w:val="right"/>
              <w:rPr>
                <w:rFonts w:cs="Arial"/>
                <w:b/>
                <w:bCs/>
                <w:sz w:val="22"/>
                <w:szCs w:val="22"/>
                <w:lang w:eastAsia="en-GB"/>
              </w:rPr>
            </w:pPr>
            <w:r>
              <w:rPr>
                <w:rFonts w:cs="Arial"/>
                <w:b/>
                <w:bCs/>
                <w:sz w:val="22"/>
                <w:szCs w:val="22"/>
                <w:lang w:eastAsia="en-GB"/>
              </w:rPr>
              <w:t>8</w:t>
            </w:r>
            <w:r w:rsidR="000F438B">
              <w:rPr>
                <w:rFonts w:cs="Arial"/>
                <w:b/>
                <w:bCs/>
                <w:sz w:val="22"/>
                <w:szCs w:val="22"/>
                <w:lang w:eastAsia="en-GB"/>
              </w:rPr>
              <w:t>4,</w:t>
            </w:r>
            <w:r w:rsidR="00274FCE">
              <w:rPr>
                <w:rFonts w:cs="Arial"/>
                <w:b/>
                <w:bCs/>
                <w:sz w:val="22"/>
                <w:szCs w:val="22"/>
                <w:lang w:eastAsia="en-GB"/>
              </w:rPr>
              <w:t>776</w:t>
            </w:r>
          </w:p>
        </w:tc>
        <w:tc>
          <w:tcPr>
            <w:tcW w:w="1536" w:type="dxa"/>
            <w:tcBorders>
              <w:top w:val="nil"/>
              <w:left w:val="nil"/>
              <w:bottom w:val="single" w:sz="4" w:space="0" w:color="auto"/>
              <w:right w:val="single" w:sz="4" w:space="0" w:color="auto"/>
            </w:tcBorders>
            <w:shd w:val="clear" w:color="auto" w:fill="auto"/>
            <w:noWrap/>
            <w:vAlign w:val="bottom"/>
          </w:tcPr>
          <w:p w:rsidR="005A0424" w:rsidRPr="00FF623F" w:rsidRDefault="00EF0B5B" w:rsidP="00F565F4">
            <w:pPr>
              <w:jc w:val="right"/>
              <w:rPr>
                <w:rFonts w:cs="Arial"/>
                <w:b/>
                <w:bCs/>
                <w:sz w:val="22"/>
                <w:szCs w:val="22"/>
                <w:lang w:eastAsia="en-GB"/>
              </w:rPr>
            </w:pPr>
            <w:r>
              <w:rPr>
                <w:rFonts w:cs="Arial"/>
                <w:b/>
                <w:bCs/>
                <w:sz w:val="22"/>
                <w:szCs w:val="22"/>
                <w:lang w:eastAsia="en-GB"/>
              </w:rPr>
              <w:t>52,</w:t>
            </w:r>
            <w:r w:rsidR="00F565F4">
              <w:rPr>
                <w:rFonts w:cs="Arial"/>
                <w:b/>
                <w:bCs/>
                <w:sz w:val="22"/>
                <w:szCs w:val="22"/>
                <w:lang w:eastAsia="en-GB"/>
              </w:rPr>
              <w:t>108</w:t>
            </w:r>
          </w:p>
        </w:tc>
      </w:tr>
    </w:tbl>
    <w:p w:rsidR="00786C5B" w:rsidRDefault="00786C5B" w:rsidP="00786C5B">
      <w:pPr>
        <w:pStyle w:val="ListParagraph"/>
      </w:pPr>
    </w:p>
    <w:p w:rsidR="006E7BF9" w:rsidRPr="006F1FBB" w:rsidRDefault="006E7BF9" w:rsidP="00BC1A13">
      <w:pPr>
        <w:pStyle w:val="ListParagraph"/>
        <w:numPr>
          <w:ilvl w:val="0"/>
          <w:numId w:val="3"/>
        </w:numPr>
        <w:ind w:hanging="502"/>
      </w:pPr>
      <w:r w:rsidRPr="006F1FBB">
        <w:rPr>
          <w:rFonts w:cs="Arial"/>
          <w:color w:val="000000"/>
          <w:lang w:val="en"/>
        </w:rPr>
        <w:t xml:space="preserve">In the current climate, internal borrowing is preferable to </w:t>
      </w:r>
      <w:r w:rsidR="00474E62">
        <w:rPr>
          <w:rFonts w:cs="Arial"/>
          <w:color w:val="000000"/>
          <w:lang w:val="en"/>
        </w:rPr>
        <w:t xml:space="preserve">borrowing </w:t>
      </w:r>
      <w:r w:rsidR="00AE65F7" w:rsidRPr="006F1FBB">
        <w:rPr>
          <w:rFonts w:cs="Arial"/>
          <w:color w:val="000000"/>
          <w:lang w:val="en"/>
        </w:rPr>
        <w:t>external</w:t>
      </w:r>
      <w:r w:rsidR="00474E62">
        <w:rPr>
          <w:rFonts w:cs="Arial"/>
          <w:color w:val="000000"/>
          <w:lang w:val="en"/>
        </w:rPr>
        <w:t>ly</w:t>
      </w:r>
      <w:r w:rsidRPr="006F1FBB">
        <w:rPr>
          <w:rFonts w:cs="Arial"/>
          <w:color w:val="000000"/>
          <w:lang w:val="en"/>
        </w:rPr>
        <w:t xml:space="preserve"> as </w:t>
      </w:r>
      <w:r w:rsidR="00AE65F7" w:rsidRPr="006F1FBB">
        <w:rPr>
          <w:rFonts w:cs="Arial"/>
          <w:color w:val="000000"/>
          <w:lang w:val="en"/>
        </w:rPr>
        <w:t xml:space="preserve">the </w:t>
      </w:r>
      <w:r w:rsidRPr="006F1FBB">
        <w:rPr>
          <w:rFonts w:cs="Arial"/>
          <w:color w:val="000000"/>
          <w:lang w:val="en"/>
        </w:rPr>
        <w:t xml:space="preserve">interest rate payable on an external loan </w:t>
      </w:r>
      <w:r w:rsidR="00474E62">
        <w:rPr>
          <w:rFonts w:cs="Arial"/>
          <w:color w:val="000000"/>
          <w:lang w:val="en"/>
        </w:rPr>
        <w:t xml:space="preserve">is </w:t>
      </w:r>
      <w:r w:rsidRPr="006F1FBB">
        <w:rPr>
          <w:rFonts w:cs="Arial"/>
          <w:color w:val="000000"/>
          <w:lang w:val="en"/>
        </w:rPr>
        <w:t xml:space="preserve">much higher than that which </w:t>
      </w:r>
      <w:r w:rsidR="00474E62">
        <w:rPr>
          <w:rFonts w:cs="Arial"/>
          <w:color w:val="000000"/>
          <w:lang w:val="en"/>
        </w:rPr>
        <w:t>can be</w:t>
      </w:r>
      <w:r w:rsidRPr="006F1FBB">
        <w:rPr>
          <w:rFonts w:cs="Arial"/>
          <w:color w:val="000000"/>
          <w:lang w:val="en"/>
        </w:rPr>
        <w:t xml:space="preserve"> </w:t>
      </w:r>
      <w:proofErr w:type="spellStart"/>
      <w:r w:rsidRPr="006F1FBB">
        <w:rPr>
          <w:rFonts w:cs="Arial"/>
          <w:color w:val="000000"/>
          <w:lang w:val="en"/>
        </w:rPr>
        <w:t>earn</w:t>
      </w:r>
      <w:r w:rsidR="00474E62">
        <w:rPr>
          <w:rFonts w:cs="Arial"/>
          <w:color w:val="000000"/>
          <w:lang w:val="en"/>
        </w:rPr>
        <w:t>t</w:t>
      </w:r>
      <w:proofErr w:type="spellEnd"/>
      <w:r w:rsidRPr="006F1FBB">
        <w:rPr>
          <w:rFonts w:cs="Arial"/>
          <w:color w:val="000000"/>
          <w:lang w:val="en"/>
        </w:rPr>
        <w:t xml:space="preserve"> on deposit</w:t>
      </w:r>
      <w:r w:rsidR="002E06AF">
        <w:rPr>
          <w:rFonts w:cs="Arial"/>
          <w:color w:val="000000"/>
          <w:lang w:val="en"/>
        </w:rPr>
        <w:t>s</w:t>
      </w:r>
      <w:r w:rsidRPr="006F1FBB">
        <w:rPr>
          <w:rFonts w:cs="Arial"/>
          <w:color w:val="000000"/>
          <w:lang w:val="en"/>
        </w:rPr>
        <w:t xml:space="preserve">. Therefore, </w:t>
      </w:r>
      <w:r w:rsidR="00AE65F7" w:rsidRPr="006F1FBB">
        <w:rPr>
          <w:rFonts w:cs="Arial"/>
          <w:color w:val="000000"/>
          <w:lang w:val="en"/>
        </w:rPr>
        <w:t>forfeiting</w:t>
      </w:r>
      <w:r w:rsidRPr="006F1FBB">
        <w:rPr>
          <w:rFonts w:cs="Arial"/>
          <w:color w:val="000000"/>
          <w:lang w:val="en"/>
        </w:rPr>
        <w:t xml:space="preserve"> interest receivable on investments is more economical than paying additional interest charges for new external debt.  </w:t>
      </w:r>
      <w:r w:rsidR="00325D19">
        <w:rPr>
          <w:rFonts w:cs="Arial"/>
          <w:color w:val="000000"/>
          <w:lang w:val="en"/>
        </w:rPr>
        <w:t>Clearly</w:t>
      </w:r>
      <w:r w:rsidR="00AE65F7" w:rsidRPr="006F1FBB">
        <w:rPr>
          <w:rFonts w:cs="Arial"/>
          <w:color w:val="000000"/>
          <w:lang w:val="en"/>
        </w:rPr>
        <w:t>, if the net borrowing position and/or CFR changed significantly, the prospect of taking on additional debt would be reviewed</w:t>
      </w:r>
      <w:r w:rsidR="00AE65F7">
        <w:rPr>
          <w:rFonts w:ascii="Verdana" w:hAnsi="Verdana"/>
          <w:color w:val="000000"/>
          <w:sz w:val="18"/>
          <w:szCs w:val="18"/>
          <w:lang w:val="en"/>
        </w:rPr>
        <w:t xml:space="preserve">. </w:t>
      </w:r>
    </w:p>
    <w:p w:rsidR="00AE65F7" w:rsidRPr="006F1FBB" w:rsidRDefault="00AE65F7" w:rsidP="00BC1A13">
      <w:pPr>
        <w:pStyle w:val="ListParagraph"/>
        <w:tabs>
          <w:tab w:val="num" w:pos="502"/>
        </w:tabs>
        <w:ind w:left="502" w:hanging="502"/>
      </w:pPr>
    </w:p>
    <w:p w:rsidR="00786C5B" w:rsidRPr="00A937AD" w:rsidRDefault="00786C5B" w:rsidP="00BC1A13">
      <w:pPr>
        <w:numPr>
          <w:ilvl w:val="0"/>
          <w:numId w:val="3"/>
        </w:numPr>
        <w:ind w:hanging="502"/>
      </w:pPr>
      <w:r w:rsidRPr="00151A6A">
        <w:rPr>
          <w:b/>
          <w:i/>
        </w:rPr>
        <w:t>The Authorised Limit</w:t>
      </w:r>
      <w:r w:rsidRPr="00A937AD">
        <w:t xml:space="preserve"> – The </w:t>
      </w:r>
      <w:r w:rsidR="00940F15">
        <w:t>A</w:t>
      </w:r>
      <w:r w:rsidRPr="00A937AD">
        <w:t xml:space="preserve">uthorised </w:t>
      </w:r>
      <w:r w:rsidR="00940F15">
        <w:t>L</w:t>
      </w:r>
      <w:r w:rsidRPr="00A937AD">
        <w:t>imit is the ‘affordable borrowing limit’ required by S3 of the Local Government Act 2003.  The Council does not have the power to borrow above this level unless it explicitly agrees to do so.  Table 5 below demonstrates that during 201</w:t>
      </w:r>
      <w:r w:rsidR="0098278E">
        <w:t>4</w:t>
      </w:r>
      <w:r w:rsidRPr="00A937AD">
        <w:t>/1</w:t>
      </w:r>
      <w:r w:rsidR="0098278E">
        <w:t>5</w:t>
      </w:r>
      <w:r w:rsidRPr="00A937AD">
        <w:t xml:space="preserve"> the Council</w:t>
      </w:r>
      <w:r w:rsidR="00325D19">
        <w:t>’s</w:t>
      </w:r>
      <w:r w:rsidRPr="00A937AD">
        <w:t xml:space="preserve"> gross borrowing </w:t>
      </w:r>
      <w:r w:rsidR="00325D19">
        <w:t xml:space="preserve">was </w:t>
      </w:r>
      <w:r w:rsidRPr="00A937AD">
        <w:t xml:space="preserve">within </w:t>
      </w:r>
      <w:r w:rsidR="00652B2C" w:rsidRPr="00A937AD">
        <w:t>its</w:t>
      </w:r>
      <w:r w:rsidRPr="00A937AD">
        <w:t xml:space="preserve"> </w:t>
      </w:r>
      <w:r w:rsidR="007170E7">
        <w:t>A</w:t>
      </w:r>
      <w:r w:rsidRPr="00A937AD">
        <w:t xml:space="preserve">uthorised </w:t>
      </w:r>
      <w:r w:rsidR="007170E7">
        <w:t>L</w:t>
      </w:r>
      <w:r w:rsidRPr="00A937AD">
        <w:t xml:space="preserve">imit.  The </w:t>
      </w:r>
      <w:r w:rsidR="007170E7">
        <w:t>A</w:t>
      </w:r>
      <w:r w:rsidRPr="00A937AD">
        <w:t xml:space="preserve">uthorised </w:t>
      </w:r>
      <w:r w:rsidR="007170E7">
        <w:t>L</w:t>
      </w:r>
      <w:r w:rsidRPr="00A937AD">
        <w:t xml:space="preserve">imit allows the Council to borrow </w:t>
      </w:r>
      <w:r w:rsidR="00F565F4">
        <w:t>against</w:t>
      </w:r>
      <w:r w:rsidR="00F565F4" w:rsidRPr="00A937AD">
        <w:t xml:space="preserve"> </w:t>
      </w:r>
      <w:r w:rsidRPr="00A937AD">
        <w:t>the future CFR if required, with a little headroom.</w:t>
      </w:r>
    </w:p>
    <w:p w:rsidR="00786C5B" w:rsidRPr="00AA6F7F" w:rsidRDefault="00786C5B" w:rsidP="00786C5B">
      <w:pPr>
        <w:ind w:left="360"/>
      </w:pPr>
    </w:p>
    <w:p w:rsidR="00786C5B" w:rsidRPr="00AA6F7F" w:rsidRDefault="00786C5B" w:rsidP="002F7007">
      <w:pPr>
        <w:ind w:left="360"/>
        <w:rPr>
          <w:b/>
        </w:rPr>
      </w:pPr>
      <w:r w:rsidRPr="00AA6F7F">
        <w:rPr>
          <w:b/>
        </w:rPr>
        <w:t>Table 5</w:t>
      </w:r>
    </w:p>
    <w:tbl>
      <w:tblPr>
        <w:tblW w:w="7943" w:type="dxa"/>
        <w:tblInd w:w="103" w:type="dxa"/>
        <w:tblLook w:val="04A0" w:firstRow="1" w:lastRow="0" w:firstColumn="1" w:lastColumn="0" w:noHBand="0" w:noVBand="1"/>
      </w:tblPr>
      <w:tblGrid>
        <w:gridCol w:w="2840"/>
        <w:gridCol w:w="1276"/>
        <w:gridCol w:w="1276"/>
        <w:gridCol w:w="1276"/>
        <w:gridCol w:w="1275"/>
      </w:tblGrid>
      <w:tr w:rsidR="002F7007" w:rsidRPr="00AA6F7F" w:rsidTr="004A68F5">
        <w:trPr>
          <w:trHeight w:val="600"/>
        </w:trPr>
        <w:tc>
          <w:tcPr>
            <w:tcW w:w="2840" w:type="dxa"/>
            <w:tcBorders>
              <w:top w:val="single" w:sz="4" w:space="0" w:color="auto"/>
              <w:left w:val="single" w:sz="4" w:space="0" w:color="auto"/>
              <w:bottom w:val="nil"/>
              <w:right w:val="nil"/>
            </w:tcBorders>
            <w:shd w:val="clear" w:color="000000" w:fill="D9D9D9"/>
            <w:noWrap/>
            <w:vAlign w:val="bottom"/>
            <w:hideMark/>
          </w:tcPr>
          <w:p w:rsidR="002F7007" w:rsidRPr="00AA6F7F" w:rsidRDefault="002F7007" w:rsidP="002F7007">
            <w:pPr>
              <w:rPr>
                <w:rFonts w:cs="Arial"/>
                <w:b/>
                <w:bCs/>
                <w:sz w:val="22"/>
                <w:szCs w:val="22"/>
                <w:lang w:eastAsia="en-GB"/>
              </w:rPr>
            </w:pPr>
            <w:r w:rsidRPr="00AA6F7F">
              <w:rPr>
                <w:rFonts w:cs="Arial"/>
                <w:b/>
                <w:bCs/>
                <w:sz w:val="22"/>
                <w:szCs w:val="22"/>
                <w:lang w:eastAsia="en-GB"/>
              </w:rPr>
              <w:t>Authorised Borrowing</w:t>
            </w:r>
          </w:p>
        </w:tc>
        <w:tc>
          <w:tcPr>
            <w:tcW w:w="2552" w:type="dxa"/>
            <w:gridSpan w:val="2"/>
            <w:tcBorders>
              <w:top w:val="single" w:sz="4" w:space="0" w:color="auto"/>
              <w:left w:val="single" w:sz="4" w:space="0" w:color="auto"/>
              <w:bottom w:val="nil"/>
              <w:right w:val="single" w:sz="4" w:space="0" w:color="000000"/>
            </w:tcBorders>
            <w:shd w:val="clear" w:color="000000" w:fill="D9D9D9"/>
            <w:vAlign w:val="bottom"/>
            <w:hideMark/>
          </w:tcPr>
          <w:p w:rsidR="002F7007" w:rsidRPr="00AA6F7F" w:rsidRDefault="002F7007" w:rsidP="00A937AD">
            <w:pPr>
              <w:jc w:val="center"/>
              <w:rPr>
                <w:rFonts w:cs="Arial"/>
                <w:b/>
                <w:bCs/>
                <w:sz w:val="22"/>
                <w:szCs w:val="22"/>
                <w:lang w:eastAsia="en-GB"/>
              </w:rPr>
            </w:pPr>
            <w:r w:rsidRPr="00AA6F7F">
              <w:rPr>
                <w:rFonts w:cs="Arial"/>
                <w:b/>
                <w:bCs/>
                <w:sz w:val="22"/>
                <w:szCs w:val="22"/>
                <w:lang w:eastAsia="en-GB"/>
              </w:rPr>
              <w:t>31st March 201</w:t>
            </w:r>
            <w:r w:rsidR="00C67C75" w:rsidRPr="00AA6F7F">
              <w:rPr>
                <w:rFonts w:cs="Arial"/>
                <w:b/>
                <w:bCs/>
                <w:sz w:val="22"/>
                <w:szCs w:val="22"/>
                <w:lang w:eastAsia="en-GB"/>
              </w:rPr>
              <w:t>4</w:t>
            </w:r>
          </w:p>
        </w:tc>
        <w:tc>
          <w:tcPr>
            <w:tcW w:w="2551" w:type="dxa"/>
            <w:gridSpan w:val="2"/>
            <w:tcBorders>
              <w:top w:val="single" w:sz="4" w:space="0" w:color="auto"/>
              <w:left w:val="nil"/>
              <w:bottom w:val="nil"/>
              <w:right w:val="single" w:sz="4" w:space="0" w:color="000000"/>
            </w:tcBorders>
            <w:shd w:val="clear" w:color="000000" w:fill="D9D9D9"/>
            <w:vAlign w:val="bottom"/>
            <w:hideMark/>
          </w:tcPr>
          <w:p w:rsidR="002F7007" w:rsidRPr="00AA6F7F" w:rsidRDefault="002F7007" w:rsidP="00A937AD">
            <w:pPr>
              <w:jc w:val="center"/>
              <w:rPr>
                <w:rFonts w:cs="Arial"/>
                <w:b/>
                <w:bCs/>
                <w:sz w:val="22"/>
                <w:szCs w:val="22"/>
                <w:lang w:eastAsia="en-GB"/>
              </w:rPr>
            </w:pPr>
            <w:r w:rsidRPr="00AA6F7F">
              <w:rPr>
                <w:rFonts w:cs="Arial"/>
                <w:b/>
                <w:bCs/>
                <w:sz w:val="22"/>
                <w:szCs w:val="22"/>
                <w:lang w:eastAsia="en-GB"/>
              </w:rPr>
              <w:t>31st March 201</w:t>
            </w:r>
            <w:r w:rsidR="00C67C75" w:rsidRPr="00AA6F7F">
              <w:rPr>
                <w:rFonts w:cs="Arial"/>
                <w:b/>
                <w:bCs/>
                <w:sz w:val="22"/>
                <w:szCs w:val="22"/>
                <w:lang w:eastAsia="en-GB"/>
              </w:rPr>
              <w:t>5</w:t>
            </w:r>
          </w:p>
        </w:tc>
      </w:tr>
      <w:tr w:rsidR="002F7007" w:rsidRPr="00AA6F7F" w:rsidTr="004A68F5">
        <w:trPr>
          <w:trHeight w:val="300"/>
        </w:trPr>
        <w:tc>
          <w:tcPr>
            <w:tcW w:w="2840" w:type="dxa"/>
            <w:tcBorders>
              <w:top w:val="nil"/>
              <w:left w:val="single" w:sz="4" w:space="0" w:color="auto"/>
              <w:bottom w:val="nil"/>
              <w:right w:val="nil"/>
            </w:tcBorders>
            <w:shd w:val="clear" w:color="000000" w:fill="D9D9D9"/>
            <w:noWrap/>
            <w:vAlign w:val="bottom"/>
            <w:hideMark/>
          </w:tcPr>
          <w:p w:rsidR="002F7007" w:rsidRPr="00AA6F7F" w:rsidRDefault="002F7007" w:rsidP="002F7007">
            <w:pPr>
              <w:rPr>
                <w:rFonts w:cs="Arial"/>
                <w:sz w:val="22"/>
                <w:szCs w:val="22"/>
                <w:lang w:eastAsia="en-GB"/>
              </w:rPr>
            </w:pPr>
            <w:r w:rsidRPr="00AA6F7F">
              <w:rPr>
                <w:rFonts w:cs="Arial"/>
                <w:sz w:val="22"/>
                <w:szCs w:val="22"/>
                <w:lang w:eastAsia="en-GB"/>
              </w:rPr>
              <w:t> </w:t>
            </w:r>
          </w:p>
        </w:tc>
        <w:tc>
          <w:tcPr>
            <w:tcW w:w="1276" w:type="dxa"/>
            <w:tcBorders>
              <w:top w:val="nil"/>
              <w:left w:val="single" w:sz="4" w:space="0" w:color="auto"/>
              <w:bottom w:val="nil"/>
              <w:right w:val="nil"/>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Estimate</w:t>
            </w:r>
          </w:p>
        </w:tc>
        <w:tc>
          <w:tcPr>
            <w:tcW w:w="1276" w:type="dxa"/>
            <w:tcBorders>
              <w:top w:val="nil"/>
              <w:left w:val="nil"/>
              <w:bottom w:val="nil"/>
              <w:right w:val="single" w:sz="4" w:space="0" w:color="auto"/>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Actual</w:t>
            </w:r>
          </w:p>
        </w:tc>
        <w:tc>
          <w:tcPr>
            <w:tcW w:w="1276" w:type="dxa"/>
            <w:tcBorders>
              <w:top w:val="nil"/>
              <w:left w:val="nil"/>
              <w:bottom w:val="nil"/>
              <w:right w:val="nil"/>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Estimate</w:t>
            </w:r>
          </w:p>
        </w:tc>
        <w:tc>
          <w:tcPr>
            <w:tcW w:w="1275" w:type="dxa"/>
            <w:tcBorders>
              <w:top w:val="nil"/>
              <w:left w:val="nil"/>
              <w:bottom w:val="nil"/>
              <w:right w:val="single" w:sz="4" w:space="0" w:color="auto"/>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Actual</w:t>
            </w:r>
          </w:p>
        </w:tc>
      </w:tr>
      <w:tr w:rsidR="002F7007" w:rsidRPr="00AA6F7F" w:rsidTr="004A68F5">
        <w:trPr>
          <w:trHeight w:val="300"/>
        </w:trPr>
        <w:tc>
          <w:tcPr>
            <w:tcW w:w="2840" w:type="dxa"/>
            <w:tcBorders>
              <w:top w:val="nil"/>
              <w:left w:val="single" w:sz="4" w:space="0" w:color="auto"/>
              <w:bottom w:val="single" w:sz="4" w:space="0" w:color="auto"/>
              <w:right w:val="nil"/>
            </w:tcBorders>
            <w:shd w:val="clear" w:color="000000" w:fill="D9D9D9"/>
            <w:noWrap/>
            <w:vAlign w:val="bottom"/>
            <w:hideMark/>
          </w:tcPr>
          <w:p w:rsidR="002F7007" w:rsidRPr="00AA6F7F" w:rsidRDefault="002F7007" w:rsidP="002F7007">
            <w:pPr>
              <w:rPr>
                <w:rFonts w:cs="Arial"/>
                <w:sz w:val="22"/>
                <w:szCs w:val="22"/>
                <w:lang w:eastAsia="en-GB"/>
              </w:rPr>
            </w:pPr>
            <w:r w:rsidRPr="00AA6F7F">
              <w:rPr>
                <w:rFonts w:cs="Arial"/>
                <w:sz w:val="22"/>
                <w:szCs w:val="22"/>
                <w:lang w:eastAsia="en-GB"/>
              </w:rPr>
              <w:t> </w:t>
            </w:r>
          </w:p>
        </w:tc>
        <w:tc>
          <w:tcPr>
            <w:tcW w:w="1276" w:type="dxa"/>
            <w:tcBorders>
              <w:top w:val="nil"/>
              <w:left w:val="single" w:sz="4" w:space="0" w:color="auto"/>
              <w:bottom w:val="single" w:sz="4" w:space="0" w:color="auto"/>
              <w:right w:val="nil"/>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£'000</w:t>
            </w:r>
          </w:p>
        </w:tc>
        <w:tc>
          <w:tcPr>
            <w:tcW w:w="1276" w:type="dxa"/>
            <w:tcBorders>
              <w:top w:val="nil"/>
              <w:left w:val="nil"/>
              <w:bottom w:val="single" w:sz="4" w:space="0" w:color="auto"/>
              <w:right w:val="nil"/>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£'000</w:t>
            </w:r>
          </w:p>
        </w:tc>
        <w:tc>
          <w:tcPr>
            <w:tcW w:w="1275" w:type="dxa"/>
            <w:tcBorders>
              <w:top w:val="nil"/>
              <w:left w:val="nil"/>
              <w:bottom w:val="single" w:sz="4" w:space="0" w:color="auto"/>
              <w:right w:val="single" w:sz="4" w:space="0" w:color="auto"/>
            </w:tcBorders>
            <w:shd w:val="clear" w:color="000000" w:fill="D9D9D9"/>
            <w:noWrap/>
            <w:vAlign w:val="bottom"/>
            <w:hideMark/>
          </w:tcPr>
          <w:p w:rsidR="002F7007" w:rsidRPr="00AA6F7F" w:rsidRDefault="002F7007" w:rsidP="002F7007">
            <w:pPr>
              <w:jc w:val="center"/>
              <w:rPr>
                <w:rFonts w:cs="Arial"/>
                <w:b/>
                <w:bCs/>
                <w:sz w:val="22"/>
                <w:szCs w:val="22"/>
                <w:lang w:eastAsia="en-GB"/>
              </w:rPr>
            </w:pPr>
            <w:r w:rsidRPr="00AA6F7F">
              <w:rPr>
                <w:rFonts w:cs="Arial"/>
                <w:b/>
                <w:bCs/>
                <w:sz w:val="22"/>
                <w:szCs w:val="22"/>
                <w:lang w:eastAsia="en-GB"/>
              </w:rPr>
              <w:t>£'000</w:t>
            </w:r>
          </w:p>
        </w:tc>
      </w:tr>
      <w:tr w:rsidR="00A937AD" w:rsidRPr="00AA6F7F" w:rsidTr="0098278E">
        <w:trPr>
          <w:trHeight w:val="285"/>
        </w:trPr>
        <w:tc>
          <w:tcPr>
            <w:tcW w:w="2840" w:type="dxa"/>
            <w:tcBorders>
              <w:top w:val="single" w:sz="4" w:space="0" w:color="auto"/>
              <w:left w:val="single" w:sz="4" w:space="0" w:color="auto"/>
              <w:bottom w:val="nil"/>
              <w:right w:val="nil"/>
            </w:tcBorders>
            <w:shd w:val="clear" w:color="auto" w:fill="auto"/>
            <w:noWrap/>
            <w:vAlign w:val="bottom"/>
            <w:hideMark/>
          </w:tcPr>
          <w:p w:rsidR="00A937AD" w:rsidRPr="00AA6F7F" w:rsidRDefault="00A937AD" w:rsidP="002F7007">
            <w:pPr>
              <w:rPr>
                <w:rFonts w:cs="Arial"/>
                <w:sz w:val="22"/>
                <w:szCs w:val="22"/>
                <w:lang w:eastAsia="en-GB"/>
              </w:rPr>
            </w:pPr>
            <w:r w:rsidRPr="00AA6F7F">
              <w:rPr>
                <w:rFonts w:cs="Arial"/>
                <w:sz w:val="22"/>
                <w:szCs w:val="22"/>
                <w:lang w:eastAsia="en-GB"/>
              </w:rPr>
              <w:t>Borrowing</w:t>
            </w:r>
          </w:p>
        </w:tc>
        <w:tc>
          <w:tcPr>
            <w:tcW w:w="1276" w:type="dxa"/>
            <w:tcBorders>
              <w:top w:val="single" w:sz="4" w:space="0" w:color="auto"/>
              <w:left w:val="single" w:sz="4" w:space="0" w:color="auto"/>
              <w:bottom w:val="nil"/>
              <w:right w:val="nil"/>
            </w:tcBorders>
            <w:shd w:val="clear" w:color="auto" w:fill="auto"/>
            <w:noWrap/>
            <w:vAlign w:val="bottom"/>
          </w:tcPr>
          <w:p w:rsidR="00A937AD" w:rsidRPr="00AA6F7F" w:rsidRDefault="00274FCE" w:rsidP="00274FCE">
            <w:pPr>
              <w:jc w:val="right"/>
              <w:rPr>
                <w:rFonts w:cs="Arial"/>
                <w:sz w:val="22"/>
                <w:szCs w:val="22"/>
                <w:lang w:eastAsia="en-GB"/>
              </w:rPr>
            </w:pPr>
            <w:r>
              <w:rPr>
                <w:rFonts w:cs="Arial"/>
                <w:sz w:val="22"/>
                <w:szCs w:val="22"/>
                <w:lang w:eastAsia="en-GB"/>
              </w:rPr>
              <w:t>248</w:t>
            </w:r>
            <w:r w:rsidR="00C67C75" w:rsidRPr="00AA6F7F">
              <w:rPr>
                <w:rFonts w:cs="Arial"/>
                <w:sz w:val="22"/>
                <w:szCs w:val="22"/>
                <w:lang w:eastAsia="en-GB"/>
              </w:rPr>
              <w:t>,000</w:t>
            </w:r>
          </w:p>
        </w:tc>
        <w:tc>
          <w:tcPr>
            <w:tcW w:w="1276" w:type="dxa"/>
            <w:tcBorders>
              <w:top w:val="single" w:sz="4" w:space="0" w:color="auto"/>
              <w:left w:val="nil"/>
              <w:bottom w:val="nil"/>
              <w:right w:val="single" w:sz="4" w:space="0" w:color="auto"/>
            </w:tcBorders>
            <w:shd w:val="clear" w:color="auto" w:fill="auto"/>
            <w:noWrap/>
            <w:vAlign w:val="bottom"/>
          </w:tcPr>
          <w:p w:rsidR="00A937AD" w:rsidRPr="00AA6F7F" w:rsidRDefault="00C67C75" w:rsidP="005E3247">
            <w:pPr>
              <w:jc w:val="right"/>
              <w:rPr>
                <w:rFonts w:cs="Arial"/>
                <w:sz w:val="22"/>
                <w:szCs w:val="22"/>
                <w:lang w:eastAsia="en-GB"/>
              </w:rPr>
            </w:pPr>
            <w:r w:rsidRPr="00AA6F7F">
              <w:rPr>
                <w:rFonts w:cs="Arial"/>
                <w:sz w:val="22"/>
                <w:szCs w:val="22"/>
                <w:lang w:eastAsia="en-GB"/>
              </w:rPr>
              <w:t>200,440</w:t>
            </w:r>
          </w:p>
        </w:tc>
        <w:tc>
          <w:tcPr>
            <w:tcW w:w="1276" w:type="dxa"/>
            <w:tcBorders>
              <w:top w:val="single" w:sz="4" w:space="0" w:color="auto"/>
              <w:left w:val="nil"/>
              <w:bottom w:val="nil"/>
              <w:right w:val="nil"/>
            </w:tcBorders>
            <w:shd w:val="clear" w:color="auto" w:fill="auto"/>
            <w:noWrap/>
            <w:vAlign w:val="bottom"/>
          </w:tcPr>
          <w:p w:rsidR="00A937AD" w:rsidRPr="00AA6F7F" w:rsidRDefault="00CE07AA" w:rsidP="002F7007">
            <w:pPr>
              <w:jc w:val="right"/>
              <w:rPr>
                <w:rFonts w:cs="Arial"/>
                <w:sz w:val="22"/>
                <w:szCs w:val="22"/>
                <w:lang w:eastAsia="en-GB"/>
              </w:rPr>
            </w:pPr>
            <w:r>
              <w:rPr>
                <w:rFonts w:cs="Arial"/>
                <w:sz w:val="22"/>
                <w:szCs w:val="22"/>
                <w:lang w:eastAsia="en-GB"/>
              </w:rPr>
              <w:t>247</w:t>
            </w:r>
            <w:r w:rsidR="00C62418" w:rsidRPr="00AA6F7F">
              <w:rPr>
                <w:rFonts w:cs="Arial"/>
                <w:sz w:val="22"/>
                <w:szCs w:val="22"/>
                <w:lang w:eastAsia="en-GB"/>
              </w:rPr>
              <w:t>,000</w:t>
            </w:r>
          </w:p>
        </w:tc>
        <w:tc>
          <w:tcPr>
            <w:tcW w:w="1275" w:type="dxa"/>
            <w:tcBorders>
              <w:top w:val="single" w:sz="4" w:space="0" w:color="auto"/>
              <w:left w:val="nil"/>
              <w:bottom w:val="nil"/>
              <w:right w:val="single" w:sz="4" w:space="0" w:color="auto"/>
            </w:tcBorders>
            <w:shd w:val="clear" w:color="auto" w:fill="auto"/>
            <w:noWrap/>
            <w:vAlign w:val="bottom"/>
          </w:tcPr>
          <w:p w:rsidR="00A937AD" w:rsidRPr="00AA6F7F" w:rsidRDefault="00C62418" w:rsidP="00E151A3">
            <w:pPr>
              <w:jc w:val="right"/>
              <w:rPr>
                <w:rFonts w:cs="Arial"/>
                <w:sz w:val="22"/>
                <w:szCs w:val="22"/>
                <w:lang w:eastAsia="en-GB"/>
              </w:rPr>
            </w:pPr>
            <w:r w:rsidRPr="00AA6F7F">
              <w:rPr>
                <w:rFonts w:cs="Arial"/>
                <w:sz w:val="22"/>
                <w:szCs w:val="22"/>
                <w:lang w:eastAsia="en-GB"/>
              </w:rPr>
              <w:t>199,423</w:t>
            </w:r>
          </w:p>
        </w:tc>
      </w:tr>
      <w:tr w:rsidR="00A937AD" w:rsidRPr="00AA6F7F" w:rsidTr="0098278E">
        <w:trPr>
          <w:trHeight w:val="285"/>
        </w:trPr>
        <w:tc>
          <w:tcPr>
            <w:tcW w:w="2840" w:type="dxa"/>
            <w:tcBorders>
              <w:top w:val="nil"/>
              <w:left w:val="single" w:sz="4" w:space="0" w:color="auto"/>
              <w:bottom w:val="nil"/>
              <w:right w:val="nil"/>
            </w:tcBorders>
            <w:shd w:val="clear" w:color="auto" w:fill="auto"/>
            <w:noWrap/>
            <w:vAlign w:val="bottom"/>
            <w:hideMark/>
          </w:tcPr>
          <w:p w:rsidR="00A937AD" w:rsidRPr="00AA6F7F" w:rsidRDefault="00A937AD" w:rsidP="002F7007">
            <w:pPr>
              <w:rPr>
                <w:rFonts w:cs="Arial"/>
                <w:sz w:val="22"/>
                <w:szCs w:val="22"/>
                <w:lang w:eastAsia="en-GB"/>
              </w:rPr>
            </w:pPr>
            <w:r w:rsidRPr="00AA6F7F">
              <w:rPr>
                <w:rFonts w:cs="Arial"/>
                <w:sz w:val="22"/>
                <w:szCs w:val="22"/>
                <w:lang w:eastAsia="en-GB"/>
              </w:rPr>
              <w:t>Other Long Term Liabilities</w:t>
            </w:r>
          </w:p>
        </w:tc>
        <w:tc>
          <w:tcPr>
            <w:tcW w:w="1276" w:type="dxa"/>
            <w:tcBorders>
              <w:top w:val="nil"/>
              <w:left w:val="single" w:sz="4" w:space="0" w:color="auto"/>
              <w:bottom w:val="nil"/>
              <w:right w:val="nil"/>
            </w:tcBorders>
            <w:shd w:val="clear" w:color="auto" w:fill="auto"/>
            <w:noWrap/>
            <w:vAlign w:val="bottom"/>
          </w:tcPr>
          <w:p w:rsidR="00A937AD" w:rsidRPr="00AA6F7F" w:rsidRDefault="00C67C75" w:rsidP="005E3247">
            <w:pPr>
              <w:jc w:val="right"/>
              <w:rPr>
                <w:rFonts w:cs="Arial"/>
                <w:sz w:val="22"/>
                <w:szCs w:val="22"/>
                <w:lang w:eastAsia="en-GB"/>
              </w:rPr>
            </w:pPr>
            <w:r w:rsidRPr="00AA6F7F">
              <w:rPr>
                <w:rFonts w:cs="Arial"/>
                <w:sz w:val="22"/>
                <w:szCs w:val="22"/>
                <w:lang w:eastAsia="en-GB"/>
              </w:rPr>
              <w:t>1,000</w:t>
            </w:r>
          </w:p>
        </w:tc>
        <w:tc>
          <w:tcPr>
            <w:tcW w:w="1276" w:type="dxa"/>
            <w:tcBorders>
              <w:top w:val="nil"/>
              <w:left w:val="nil"/>
              <w:bottom w:val="nil"/>
              <w:right w:val="single" w:sz="4" w:space="0" w:color="auto"/>
            </w:tcBorders>
            <w:shd w:val="clear" w:color="auto" w:fill="auto"/>
            <w:noWrap/>
            <w:vAlign w:val="bottom"/>
          </w:tcPr>
          <w:p w:rsidR="00A937AD" w:rsidRPr="00AA6F7F" w:rsidRDefault="00C67C75" w:rsidP="005E3247">
            <w:pPr>
              <w:jc w:val="right"/>
              <w:rPr>
                <w:rFonts w:cs="Arial"/>
                <w:sz w:val="22"/>
                <w:szCs w:val="22"/>
                <w:lang w:eastAsia="en-GB"/>
              </w:rPr>
            </w:pPr>
            <w:r w:rsidRPr="00AA6F7F">
              <w:rPr>
                <w:rFonts w:cs="Arial"/>
                <w:sz w:val="22"/>
                <w:szCs w:val="22"/>
                <w:lang w:eastAsia="en-GB"/>
              </w:rPr>
              <w:t>0</w:t>
            </w:r>
          </w:p>
        </w:tc>
        <w:tc>
          <w:tcPr>
            <w:tcW w:w="1276" w:type="dxa"/>
            <w:tcBorders>
              <w:top w:val="nil"/>
              <w:left w:val="nil"/>
              <w:bottom w:val="nil"/>
              <w:right w:val="nil"/>
            </w:tcBorders>
            <w:shd w:val="clear" w:color="auto" w:fill="auto"/>
            <w:noWrap/>
            <w:vAlign w:val="bottom"/>
          </w:tcPr>
          <w:p w:rsidR="00A937AD" w:rsidRPr="00AA6F7F" w:rsidRDefault="001B7647" w:rsidP="002F7007">
            <w:pPr>
              <w:jc w:val="right"/>
              <w:rPr>
                <w:rFonts w:cs="Arial"/>
                <w:sz w:val="22"/>
                <w:szCs w:val="22"/>
                <w:lang w:eastAsia="en-GB"/>
              </w:rPr>
            </w:pPr>
            <w:r>
              <w:rPr>
                <w:rFonts w:cs="Arial"/>
                <w:sz w:val="22"/>
                <w:szCs w:val="22"/>
                <w:lang w:eastAsia="en-GB"/>
              </w:rPr>
              <w:t>0</w:t>
            </w:r>
          </w:p>
        </w:tc>
        <w:tc>
          <w:tcPr>
            <w:tcW w:w="1275" w:type="dxa"/>
            <w:tcBorders>
              <w:top w:val="nil"/>
              <w:left w:val="nil"/>
              <w:bottom w:val="nil"/>
              <w:right w:val="single" w:sz="4" w:space="0" w:color="auto"/>
            </w:tcBorders>
            <w:shd w:val="clear" w:color="auto" w:fill="auto"/>
            <w:noWrap/>
            <w:vAlign w:val="bottom"/>
          </w:tcPr>
          <w:p w:rsidR="00A937AD" w:rsidRPr="00AA6F7F" w:rsidRDefault="001B7647" w:rsidP="002F7007">
            <w:pPr>
              <w:jc w:val="right"/>
              <w:rPr>
                <w:rFonts w:cs="Arial"/>
                <w:sz w:val="22"/>
                <w:szCs w:val="22"/>
                <w:lang w:eastAsia="en-GB"/>
              </w:rPr>
            </w:pPr>
            <w:r>
              <w:rPr>
                <w:rFonts w:cs="Arial"/>
                <w:sz w:val="22"/>
                <w:szCs w:val="22"/>
                <w:lang w:eastAsia="en-GB"/>
              </w:rPr>
              <w:t>0</w:t>
            </w:r>
          </w:p>
        </w:tc>
      </w:tr>
      <w:tr w:rsidR="00A937AD" w:rsidRPr="00AA6F7F" w:rsidTr="0098278E">
        <w:trPr>
          <w:trHeight w:val="300"/>
        </w:trPr>
        <w:tc>
          <w:tcPr>
            <w:tcW w:w="2840" w:type="dxa"/>
            <w:tcBorders>
              <w:top w:val="nil"/>
              <w:left w:val="single" w:sz="4" w:space="0" w:color="auto"/>
              <w:bottom w:val="nil"/>
              <w:right w:val="nil"/>
            </w:tcBorders>
            <w:shd w:val="clear" w:color="auto" w:fill="auto"/>
            <w:noWrap/>
            <w:vAlign w:val="bottom"/>
            <w:hideMark/>
          </w:tcPr>
          <w:p w:rsidR="00A937AD" w:rsidRPr="00AA6F7F" w:rsidRDefault="00A937AD" w:rsidP="002F7007">
            <w:pPr>
              <w:rPr>
                <w:rFonts w:cs="Arial"/>
                <w:b/>
                <w:bCs/>
                <w:sz w:val="22"/>
                <w:szCs w:val="22"/>
                <w:lang w:eastAsia="en-GB"/>
              </w:rPr>
            </w:pPr>
            <w:r w:rsidRPr="00AA6F7F">
              <w:rPr>
                <w:rFonts w:cs="Arial"/>
                <w:b/>
                <w:bCs/>
                <w:sz w:val="22"/>
                <w:szCs w:val="22"/>
                <w:lang w:eastAsia="en-GB"/>
              </w:rPr>
              <w:t>Total Borrowed</w:t>
            </w:r>
          </w:p>
        </w:tc>
        <w:tc>
          <w:tcPr>
            <w:tcW w:w="1276" w:type="dxa"/>
            <w:tcBorders>
              <w:top w:val="nil"/>
              <w:left w:val="single" w:sz="4" w:space="0" w:color="auto"/>
              <w:bottom w:val="nil"/>
              <w:right w:val="nil"/>
            </w:tcBorders>
            <w:shd w:val="clear" w:color="auto" w:fill="auto"/>
            <w:noWrap/>
            <w:vAlign w:val="bottom"/>
          </w:tcPr>
          <w:p w:rsidR="00A937AD" w:rsidRPr="00AA6F7F" w:rsidRDefault="00274FCE" w:rsidP="00274FCE">
            <w:pPr>
              <w:jc w:val="right"/>
              <w:rPr>
                <w:rFonts w:cs="Arial"/>
                <w:b/>
                <w:bCs/>
                <w:sz w:val="22"/>
                <w:szCs w:val="22"/>
                <w:lang w:eastAsia="en-GB"/>
              </w:rPr>
            </w:pPr>
            <w:r w:rsidRPr="00AA6F7F">
              <w:rPr>
                <w:rFonts w:cs="Arial"/>
                <w:b/>
                <w:bCs/>
                <w:sz w:val="22"/>
                <w:szCs w:val="22"/>
                <w:lang w:eastAsia="en-GB"/>
              </w:rPr>
              <w:t>2</w:t>
            </w:r>
            <w:r>
              <w:rPr>
                <w:rFonts w:cs="Arial"/>
                <w:b/>
                <w:bCs/>
                <w:sz w:val="22"/>
                <w:szCs w:val="22"/>
                <w:lang w:eastAsia="en-GB"/>
              </w:rPr>
              <w:t>49</w:t>
            </w:r>
            <w:r w:rsidR="00C67C75" w:rsidRPr="00AA6F7F">
              <w:rPr>
                <w:rFonts w:cs="Arial"/>
                <w:b/>
                <w:bCs/>
                <w:sz w:val="22"/>
                <w:szCs w:val="22"/>
                <w:lang w:eastAsia="en-GB"/>
              </w:rPr>
              <w:t>,000</w:t>
            </w:r>
          </w:p>
        </w:tc>
        <w:tc>
          <w:tcPr>
            <w:tcW w:w="1276" w:type="dxa"/>
            <w:tcBorders>
              <w:top w:val="nil"/>
              <w:left w:val="nil"/>
              <w:bottom w:val="nil"/>
              <w:right w:val="single" w:sz="4" w:space="0" w:color="auto"/>
            </w:tcBorders>
            <w:shd w:val="clear" w:color="auto" w:fill="auto"/>
            <w:noWrap/>
            <w:vAlign w:val="bottom"/>
          </w:tcPr>
          <w:p w:rsidR="00A937AD" w:rsidRPr="00AA6F7F" w:rsidRDefault="00C67C75" w:rsidP="005E3247">
            <w:pPr>
              <w:jc w:val="right"/>
              <w:rPr>
                <w:rFonts w:cs="Arial"/>
                <w:b/>
                <w:bCs/>
                <w:sz w:val="22"/>
                <w:szCs w:val="22"/>
                <w:lang w:eastAsia="en-GB"/>
              </w:rPr>
            </w:pPr>
            <w:r w:rsidRPr="00AA6F7F">
              <w:rPr>
                <w:rFonts w:cs="Arial"/>
                <w:b/>
                <w:bCs/>
                <w:sz w:val="22"/>
                <w:szCs w:val="22"/>
                <w:lang w:eastAsia="en-GB"/>
              </w:rPr>
              <w:t>200,440</w:t>
            </w:r>
          </w:p>
        </w:tc>
        <w:tc>
          <w:tcPr>
            <w:tcW w:w="1276" w:type="dxa"/>
            <w:tcBorders>
              <w:top w:val="nil"/>
              <w:left w:val="nil"/>
              <w:bottom w:val="nil"/>
              <w:right w:val="nil"/>
            </w:tcBorders>
            <w:shd w:val="clear" w:color="auto" w:fill="auto"/>
            <w:noWrap/>
            <w:vAlign w:val="bottom"/>
          </w:tcPr>
          <w:p w:rsidR="00A937AD" w:rsidRPr="00AA6F7F" w:rsidRDefault="00274FCE" w:rsidP="00274FCE">
            <w:pPr>
              <w:jc w:val="right"/>
              <w:rPr>
                <w:rFonts w:cs="Arial"/>
                <w:b/>
                <w:bCs/>
                <w:sz w:val="22"/>
                <w:szCs w:val="22"/>
                <w:lang w:eastAsia="en-GB"/>
              </w:rPr>
            </w:pPr>
            <w:r w:rsidRPr="00AA6F7F">
              <w:rPr>
                <w:rFonts w:cs="Arial"/>
                <w:b/>
                <w:bCs/>
                <w:sz w:val="22"/>
                <w:szCs w:val="22"/>
                <w:lang w:eastAsia="en-GB"/>
              </w:rPr>
              <w:t>2</w:t>
            </w:r>
            <w:r>
              <w:rPr>
                <w:rFonts w:cs="Arial"/>
                <w:b/>
                <w:bCs/>
                <w:sz w:val="22"/>
                <w:szCs w:val="22"/>
                <w:lang w:eastAsia="en-GB"/>
              </w:rPr>
              <w:t>47</w:t>
            </w:r>
            <w:r w:rsidR="00C62418" w:rsidRPr="00AA6F7F">
              <w:rPr>
                <w:rFonts w:cs="Arial"/>
                <w:b/>
                <w:bCs/>
                <w:sz w:val="22"/>
                <w:szCs w:val="22"/>
                <w:lang w:eastAsia="en-GB"/>
              </w:rPr>
              <w:t>,000</w:t>
            </w:r>
          </w:p>
        </w:tc>
        <w:tc>
          <w:tcPr>
            <w:tcW w:w="1275" w:type="dxa"/>
            <w:tcBorders>
              <w:top w:val="nil"/>
              <w:left w:val="nil"/>
              <w:bottom w:val="nil"/>
              <w:right w:val="single" w:sz="4" w:space="0" w:color="auto"/>
            </w:tcBorders>
            <w:shd w:val="clear" w:color="auto" w:fill="auto"/>
            <w:noWrap/>
            <w:vAlign w:val="bottom"/>
          </w:tcPr>
          <w:p w:rsidR="00A937AD" w:rsidRPr="00AA6F7F" w:rsidRDefault="00C62418" w:rsidP="002F7007">
            <w:pPr>
              <w:jc w:val="right"/>
              <w:rPr>
                <w:rFonts w:cs="Arial"/>
                <w:b/>
                <w:bCs/>
                <w:sz w:val="22"/>
                <w:szCs w:val="22"/>
                <w:lang w:eastAsia="en-GB"/>
              </w:rPr>
            </w:pPr>
            <w:r w:rsidRPr="00AA6F7F">
              <w:rPr>
                <w:rFonts w:cs="Arial"/>
                <w:b/>
                <w:bCs/>
                <w:sz w:val="22"/>
                <w:szCs w:val="22"/>
                <w:lang w:eastAsia="en-GB"/>
              </w:rPr>
              <w:t>199,423</w:t>
            </w:r>
          </w:p>
        </w:tc>
      </w:tr>
      <w:tr w:rsidR="002F7007" w:rsidRPr="00AA6F7F" w:rsidTr="0098278E">
        <w:trPr>
          <w:trHeight w:val="285"/>
        </w:trPr>
        <w:tc>
          <w:tcPr>
            <w:tcW w:w="2840" w:type="dxa"/>
            <w:tcBorders>
              <w:top w:val="nil"/>
              <w:left w:val="single" w:sz="4" w:space="0" w:color="auto"/>
              <w:bottom w:val="nil"/>
              <w:right w:val="nil"/>
            </w:tcBorders>
            <w:shd w:val="clear" w:color="auto" w:fill="auto"/>
            <w:noWrap/>
            <w:vAlign w:val="bottom"/>
            <w:hideMark/>
          </w:tcPr>
          <w:p w:rsidR="002F7007" w:rsidRPr="00AA6F7F" w:rsidRDefault="002F7007" w:rsidP="002F7007">
            <w:pPr>
              <w:rPr>
                <w:rFonts w:cs="Arial"/>
                <w:sz w:val="22"/>
                <w:szCs w:val="22"/>
                <w:lang w:eastAsia="en-GB"/>
              </w:rPr>
            </w:pPr>
            <w:r w:rsidRPr="00AA6F7F">
              <w:rPr>
                <w:rFonts w:cs="Arial"/>
                <w:sz w:val="22"/>
                <w:szCs w:val="22"/>
                <w:lang w:eastAsia="en-GB"/>
              </w:rPr>
              <w:t> </w:t>
            </w:r>
          </w:p>
        </w:tc>
        <w:tc>
          <w:tcPr>
            <w:tcW w:w="1276" w:type="dxa"/>
            <w:tcBorders>
              <w:top w:val="nil"/>
              <w:left w:val="single" w:sz="4" w:space="0" w:color="auto"/>
              <w:bottom w:val="nil"/>
              <w:right w:val="nil"/>
            </w:tcBorders>
            <w:shd w:val="clear" w:color="auto" w:fill="auto"/>
            <w:noWrap/>
            <w:vAlign w:val="bottom"/>
          </w:tcPr>
          <w:p w:rsidR="002F7007" w:rsidRPr="00AA6F7F" w:rsidRDefault="002F7007" w:rsidP="002F7007">
            <w:pPr>
              <w:rPr>
                <w:rFonts w:cs="Arial"/>
                <w:sz w:val="22"/>
                <w:szCs w:val="22"/>
                <w:lang w:eastAsia="en-GB"/>
              </w:rPr>
            </w:pPr>
          </w:p>
        </w:tc>
        <w:tc>
          <w:tcPr>
            <w:tcW w:w="1276" w:type="dxa"/>
            <w:tcBorders>
              <w:top w:val="nil"/>
              <w:left w:val="nil"/>
              <w:bottom w:val="nil"/>
              <w:right w:val="single" w:sz="4" w:space="0" w:color="auto"/>
            </w:tcBorders>
            <w:shd w:val="clear" w:color="auto" w:fill="auto"/>
            <w:noWrap/>
            <w:vAlign w:val="bottom"/>
          </w:tcPr>
          <w:p w:rsidR="002F7007" w:rsidRPr="00AA6F7F" w:rsidRDefault="002F7007" w:rsidP="002F7007">
            <w:pPr>
              <w:rPr>
                <w:rFonts w:cs="Arial"/>
                <w:sz w:val="22"/>
                <w:szCs w:val="22"/>
                <w:lang w:eastAsia="en-GB"/>
              </w:rPr>
            </w:pPr>
          </w:p>
        </w:tc>
        <w:tc>
          <w:tcPr>
            <w:tcW w:w="1276" w:type="dxa"/>
            <w:tcBorders>
              <w:top w:val="nil"/>
              <w:left w:val="nil"/>
              <w:bottom w:val="nil"/>
              <w:right w:val="nil"/>
            </w:tcBorders>
            <w:shd w:val="clear" w:color="auto" w:fill="auto"/>
            <w:noWrap/>
            <w:vAlign w:val="bottom"/>
          </w:tcPr>
          <w:p w:rsidR="002F7007" w:rsidRPr="00AA6F7F" w:rsidRDefault="002F7007" w:rsidP="002F7007">
            <w:pPr>
              <w:rPr>
                <w:rFonts w:cs="Arial"/>
                <w:sz w:val="22"/>
                <w:szCs w:val="22"/>
                <w:lang w:eastAsia="en-GB"/>
              </w:rPr>
            </w:pPr>
          </w:p>
        </w:tc>
        <w:tc>
          <w:tcPr>
            <w:tcW w:w="1275" w:type="dxa"/>
            <w:tcBorders>
              <w:top w:val="nil"/>
              <w:left w:val="nil"/>
              <w:bottom w:val="nil"/>
              <w:right w:val="single" w:sz="4" w:space="0" w:color="auto"/>
            </w:tcBorders>
            <w:shd w:val="clear" w:color="auto" w:fill="auto"/>
            <w:noWrap/>
            <w:vAlign w:val="bottom"/>
          </w:tcPr>
          <w:p w:rsidR="002F7007" w:rsidRPr="00AA6F7F" w:rsidRDefault="002F7007" w:rsidP="002F7007">
            <w:pPr>
              <w:rPr>
                <w:rFonts w:cs="Arial"/>
                <w:sz w:val="22"/>
                <w:szCs w:val="22"/>
                <w:lang w:eastAsia="en-GB"/>
              </w:rPr>
            </w:pPr>
          </w:p>
        </w:tc>
      </w:tr>
      <w:tr w:rsidR="002F7007" w:rsidRPr="00AA6F7F" w:rsidTr="0098278E">
        <w:trPr>
          <w:trHeight w:val="300"/>
        </w:trPr>
        <w:tc>
          <w:tcPr>
            <w:tcW w:w="2840" w:type="dxa"/>
            <w:tcBorders>
              <w:top w:val="nil"/>
              <w:left w:val="single" w:sz="4" w:space="0" w:color="auto"/>
              <w:bottom w:val="single" w:sz="4" w:space="0" w:color="auto"/>
              <w:right w:val="nil"/>
            </w:tcBorders>
            <w:shd w:val="clear" w:color="auto" w:fill="auto"/>
            <w:noWrap/>
            <w:vAlign w:val="bottom"/>
            <w:hideMark/>
          </w:tcPr>
          <w:p w:rsidR="002F7007" w:rsidRPr="00AA6F7F" w:rsidRDefault="002F7007" w:rsidP="002F7007">
            <w:pPr>
              <w:rPr>
                <w:rFonts w:cs="Arial"/>
                <w:b/>
                <w:bCs/>
                <w:sz w:val="22"/>
                <w:szCs w:val="22"/>
                <w:lang w:eastAsia="en-GB"/>
              </w:rPr>
            </w:pPr>
            <w:r w:rsidRPr="00AA6F7F">
              <w:rPr>
                <w:rFonts w:cs="Arial"/>
                <w:b/>
                <w:bCs/>
                <w:sz w:val="22"/>
                <w:szCs w:val="22"/>
                <w:lang w:eastAsia="en-GB"/>
              </w:rPr>
              <w:t>Amount under Limit</w:t>
            </w:r>
          </w:p>
        </w:tc>
        <w:tc>
          <w:tcPr>
            <w:tcW w:w="2552" w:type="dxa"/>
            <w:gridSpan w:val="2"/>
            <w:tcBorders>
              <w:top w:val="nil"/>
              <w:left w:val="single" w:sz="4" w:space="0" w:color="auto"/>
              <w:bottom w:val="single" w:sz="4" w:space="0" w:color="auto"/>
              <w:right w:val="single" w:sz="4" w:space="0" w:color="000000"/>
            </w:tcBorders>
            <w:shd w:val="clear" w:color="auto" w:fill="auto"/>
            <w:noWrap/>
            <w:vAlign w:val="bottom"/>
          </w:tcPr>
          <w:p w:rsidR="002F7007" w:rsidRPr="00AA6F7F" w:rsidRDefault="00274FCE" w:rsidP="002F7007">
            <w:pPr>
              <w:jc w:val="center"/>
              <w:rPr>
                <w:rFonts w:cs="Arial"/>
                <w:b/>
                <w:bCs/>
                <w:sz w:val="22"/>
                <w:szCs w:val="22"/>
                <w:lang w:eastAsia="en-GB"/>
              </w:rPr>
            </w:pPr>
            <w:r>
              <w:rPr>
                <w:rFonts w:cs="Arial"/>
                <w:b/>
                <w:bCs/>
                <w:sz w:val="22"/>
                <w:szCs w:val="22"/>
                <w:lang w:eastAsia="en-GB"/>
              </w:rPr>
              <w:t>48</w:t>
            </w:r>
            <w:r w:rsidR="00C67C75" w:rsidRPr="00AA6F7F">
              <w:rPr>
                <w:rFonts w:cs="Arial"/>
                <w:b/>
                <w:bCs/>
                <w:sz w:val="22"/>
                <w:szCs w:val="22"/>
                <w:lang w:eastAsia="en-GB"/>
              </w:rPr>
              <w:t>,560</w:t>
            </w:r>
          </w:p>
        </w:tc>
        <w:tc>
          <w:tcPr>
            <w:tcW w:w="2551" w:type="dxa"/>
            <w:gridSpan w:val="2"/>
            <w:tcBorders>
              <w:top w:val="nil"/>
              <w:left w:val="nil"/>
              <w:bottom w:val="single" w:sz="4" w:space="0" w:color="auto"/>
              <w:right w:val="single" w:sz="4" w:space="0" w:color="000000"/>
            </w:tcBorders>
            <w:shd w:val="clear" w:color="auto" w:fill="auto"/>
            <w:noWrap/>
            <w:vAlign w:val="bottom"/>
          </w:tcPr>
          <w:p w:rsidR="002F7007" w:rsidRPr="00AA6F7F" w:rsidRDefault="00274FCE" w:rsidP="00494170">
            <w:pPr>
              <w:jc w:val="center"/>
              <w:rPr>
                <w:rFonts w:cs="Arial"/>
                <w:b/>
                <w:bCs/>
                <w:sz w:val="22"/>
                <w:szCs w:val="22"/>
                <w:lang w:eastAsia="en-GB"/>
              </w:rPr>
            </w:pPr>
            <w:r>
              <w:rPr>
                <w:rFonts w:cs="Arial"/>
                <w:b/>
                <w:bCs/>
                <w:sz w:val="22"/>
                <w:szCs w:val="22"/>
                <w:lang w:eastAsia="en-GB"/>
              </w:rPr>
              <w:t>47</w:t>
            </w:r>
            <w:r w:rsidR="00C62418" w:rsidRPr="00AA6F7F">
              <w:rPr>
                <w:rFonts w:cs="Arial"/>
                <w:b/>
                <w:bCs/>
                <w:sz w:val="22"/>
                <w:szCs w:val="22"/>
                <w:lang w:eastAsia="en-GB"/>
              </w:rPr>
              <w:t>,577</w:t>
            </w:r>
          </w:p>
        </w:tc>
      </w:tr>
    </w:tbl>
    <w:p w:rsidR="00786C5B" w:rsidRPr="00AA6F7F" w:rsidRDefault="00786C5B" w:rsidP="00786C5B">
      <w:pPr>
        <w:ind w:left="360"/>
      </w:pPr>
    </w:p>
    <w:p w:rsidR="00786C5B" w:rsidRDefault="00786C5B" w:rsidP="00BC1A13">
      <w:pPr>
        <w:numPr>
          <w:ilvl w:val="0"/>
          <w:numId w:val="3"/>
        </w:numPr>
        <w:ind w:hanging="502"/>
      </w:pPr>
      <w:r w:rsidRPr="00151A6A">
        <w:rPr>
          <w:b/>
          <w:i/>
        </w:rPr>
        <w:t>The Operational Boundary</w:t>
      </w:r>
      <w:r w:rsidR="002F5F4E" w:rsidRPr="00151A6A">
        <w:rPr>
          <w:b/>
          <w:i/>
        </w:rPr>
        <w:t xml:space="preserve"> Limit</w:t>
      </w:r>
      <w:r w:rsidRPr="00AA5A11">
        <w:t xml:space="preserve"> – the </w:t>
      </w:r>
      <w:r w:rsidR="003E6AA1">
        <w:t>O</w:t>
      </w:r>
      <w:r w:rsidRPr="00AA5A11">
        <w:t xml:space="preserve">perational </w:t>
      </w:r>
      <w:r w:rsidR="003E6AA1">
        <w:t>B</w:t>
      </w:r>
      <w:r w:rsidRPr="00AA5A11">
        <w:t xml:space="preserve">oundary </w:t>
      </w:r>
      <w:r w:rsidR="003E6AA1">
        <w:t>L</w:t>
      </w:r>
      <w:r w:rsidRPr="00AA5A11">
        <w:t xml:space="preserve">imit is the expected borrowing position of the Council during the year.  It is possible to exceed the </w:t>
      </w:r>
      <w:r w:rsidR="003E6AA1">
        <w:t>O</w:t>
      </w:r>
      <w:r w:rsidRPr="00AA5A11">
        <w:t xml:space="preserve">perational </w:t>
      </w:r>
      <w:r w:rsidR="003E6AA1">
        <w:t>B</w:t>
      </w:r>
      <w:r w:rsidRPr="00AA5A11">
        <w:t xml:space="preserve">oundary limit, for a short period of time, providing that the </w:t>
      </w:r>
      <w:r w:rsidR="003E6AA1">
        <w:t>A</w:t>
      </w:r>
      <w:r w:rsidRPr="00AA5A11">
        <w:t xml:space="preserve">uthorised </w:t>
      </w:r>
      <w:r w:rsidR="003E6AA1">
        <w:t>B</w:t>
      </w:r>
      <w:r w:rsidRPr="00AA5A11">
        <w:t xml:space="preserve">orrowing </w:t>
      </w:r>
      <w:r w:rsidR="003E6AA1">
        <w:t>L</w:t>
      </w:r>
      <w:r w:rsidRPr="00AA5A11">
        <w:t>imit is not breached.</w:t>
      </w:r>
      <w:r w:rsidR="006A153A" w:rsidRPr="00AA5A11">
        <w:t xml:space="preserve">  </w:t>
      </w:r>
      <w:r w:rsidR="006A153A" w:rsidRPr="00AA5A11">
        <w:lastRenderedPageBreak/>
        <w:t>Table 6 below shows the limits for the last two financial year</w:t>
      </w:r>
      <w:r w:rsidR="00681D0D">
        <w:t>s</w:t>
      </w:r>
      <w:r w:rsidR="003E6AA1">
        <w:t>.  T</w:t>
      </w:r>
      <w:r w:rsidR="006A153A" w:rsidRPr="00AA5A11">
        <w:t>he</w:t>
      </w:r>
      <w:r w:rsidR="003E6AA1">
        <w:t>y</w:t>
      </w:r>
      <w:r w:rsidR="006A153A" w:rsidRPr="00AA5A11">
        <w:t xml:space="preserve"> were not breached during either period.</w:t>
      </w:r>
    </w:p>
    <w:p w:rsidR="00151A6A" w:rsidRDefault="00151A6A" w:rsidP="00151A6A">
      <w:pPr>
        <w:ind w:left="502"/>
      </w:pPr>
    </w:p>
    <w:p w:rsidR="004E160A" w:rsidRPr="00AA5A11" w:rsidRDefault="004E160A" w:rsidP="004E160A">
      <w:pPr>
        <w:ind w:left="360"/>
        <w:rPr>
          <w:b/>
        </w:rPr>
      </w:pPr>
      <w:r w:rsidRPr="00AA5A11">
        <w:rPr>
          <w:b/>
        </w:rPr>
        <w:t>Table 6</w:t>
      </w:r>
    </w:p>
    <w:tbl>
      <w:tblPr>
        <w:tblW w:w="6300" w:type="dxa"/>
        <w:tblInd w:w="720" w:type="dxa"/>
        <w:tblLook w:val="04A0" w:firstRow="1" w:lastRow="0" w:firstColumn="1" w:lastColumn="0" w:noHBand="0" w:noVBand="1"/>
      </w:tblPr>
      <w:tblGrid>
        <w:gridCol w:w="3220"/>
        <w:gridCol w:w="1540"/>
        <w:gridCol w:w="1540"/>
      </w:tblGrid>
      <w:tr w:rsidR="004E160A" w:rsidRPr="00C75F21" w:rsidTr="00A06591">
        <w:trPr>
          <w:trHeight w:val="600"/>
        </w:trPr>
        <w:tc>
          <w:tcPr>
            <w:tcW w:w="3220" w:type="dxa"/>
            <w:tcBorders>
              <w:top w:val="single" w:sz="4" w:space="0" w:color="auto"/>
              <w:left w:val="single" w:sz="4" w:space="0" w:color="auto"/>
              <w:bottom w:val="nil"/>
              <w:right w:val="nil"/>
            </w:tcBorders>
            <w:shd w:val="clear" w:color="000000" w:fill="D9D9D9"/>
            <w:noWrap/>
            <w:vAlign w:val="bottom"/>
            <w:hideMark/>
          </w:tcPr>
          <w:p w:rsidR="004E160A" w:rsidRPr="00AA5A11" w:rsidRDefault="004E160A" w:rsidP="00BA4954">
            <w:pPr>
              <w:rPr>
                <w:rFonts w:cs="Arial"/>
                <w:b/>
                <w:bCs/>
                <w:sz w:val="22"/>
                <w:szCs w:val="22"/>
                <w:lang w:eastAsia="en-GB"/>
              </w:rPr>
            </w:pPr>
            <w:r w:rsidRPr="00AA5A11">
              <w:rPr>
                <w:rFonts w:cs="Arial"/>
                <w:b/>
                <w:bCs/>
                <w:sz w:val="22"/>
                <w:szCs w:val="22"/>
                <w:lang w:eastAsia="en-GB"/>
              </w:rPr>
              <w:t>Operational Boundaries</w:t>
            </w:r>
          </w:p>
        </w:tc>
        <w:tc>
          <w:tcPr>
            <w:tcW w:w="1540" w:type="dxa"/>
            <w:tcBorders>
              <w:top w:val="single" w:sz="4" w:space="0" w:color="auto"/>
              <w:left w:val="single" w:sz="4" w:space="0" w:color="auto"/>
              <w:bottom w:val="nil"/>
              <w:right w:val="nil"/>
            </w:tcBorders>
            <w:shd w:val="clear" w:color="000000" w:fill="D9D9D9"/>
            <w:vAlign w:val="bottom"/>
            <w:hideMark/>
          </w:tcPr>
          <w:p w:rsidR="004E160A" w:rsidRPr="00C75F21" w:rsidRDefault="00C62418" w:rsidP="00BA4954">
            <w:pPr>
              <w:jc w:val="center"/>
              <w:rPr>
                <w:rFonts w:cs="Arial"/>
                <w:b/>
                <w:bCs/>
                <w:sz w:val="22"/>
                <w:szCs w:val="22"/>
                <w:lang w:eastAsia="en-GB"/>
              </w:rPr>
            </w:pPr>
            <w:r>
              <w:rPr>
                <w:rFonts w:cs="Arial"/>
                <w:b/>
                <w:bCs/>
                <w:sz w:val="22"/>
                <w:szCs w:val="22"/>
                <w:lang w:eastAsia="en-GB"/>
              </w:rPr>
              <w:t>31st March 2014</w:t>
            </w:r>
          </w:p>
        </w:tc>
        <w:tc>
          <w:tcPr>
            <w:tcW w:w="1540" w:type="dxa"/>
            <w:tcBorders>
              <w:top w:val="single" w:sz="4" w:space="0" w:color="auto"/>
              <w:left w:val="single" w:sz="4" w:space="0" w:color="auto"/>
              <w:bottom w:val="nil"/>
              <w:right w:val="single" w:sz="4" w:space="0" w:color="auto"/>
            </w:tcBorders>
            <w:shd w:val="clear" w:color="000000" w:fill="D9D9D9"/>
            <w:vAlign w:val="bottom"/>
            <w:hideMark/>
          </w:tcPr>
          <w:p w:rsidR="004E160A" w:rsidRPr="00AA5A11" w:rsidRDefault="00C62418" w:rsidP="00BA4954">
            <w:pPr>
              <w:jc w:val="center"/>
              <w:rPr>
                <w:rFonts w:cs="Arial"/>
                <w:b/>
                <w:bCs/>
                <w:sz w:val="22"/>
                <w:szCs w:val="22"/>
                <w:lang w:eastAsia="en-GB"/>
              </w:rPr>
            </w:pPr>
            <w:r>
              <w:rPr>
                <w:rFonts w:cs="Arial"/>
                <w:b/>
                <w:bCs/>
                <w:sz w:val="22"/>
                <w:szCs w:val="22"/>
                <w:lang w:eastAsia="en-GB"/>
              </w:rPr>
              <w:t>31st March 2015</w:t>
            </w:r>
          </w:p>
        </w:tc>
      </w:tr>
      <w:tr w:rsidR="004E160A" w:rsidRPr="00C75F21" w:rsidTr="00A06591">
        <w:trPr>
          <w:trHeight w:val="300"/>
        </w:trPr>
        <w:tc>
          <w:tcPr>
            <w:tcW w:w="3220" w:type="dxa"/>
            <w:tcBorders>
              <w:top w:val="nil"/>
              <w:left w:val="single" w:sz="4" w:space="0" w:color="auto"/>
              <w:bottom w:val="single" w:sz="4" w:space="0" w:color="auto"/>
              <w:right w:val="nil"/>
            </w:tcBorders>
            <w:shd w:val="clear" w:color="000000" w:fill="D9D9D9"/>
            <w:noWrap/>
            <w:vAlign w:val="bottom"/>
            <w:hideMark/>
          </w:tcPr>
          <w:p w:rsidR="004E160A" w:rsidRPr="00AA5A11" w:rsidRDefault="004E160A" w:rsidP="00BA4954">
            <w:pPr>
              <w:rPr>
                <w:rFonts w:cs="Arial"/>
                <w:sz w:val="22"/>
                <w:szCs w:val="22"/>
                <w:lang w:eastAsia="en-GB"/>
              </w:rPr>
            </w:pPr>
            <w:r w:rsidRPr="00AA5A11">
              <w:rPr>
                <w:rFonts w:cs="Arial"/>
                <w:sz w:val="22"/>
                <w:szCs w:val="22"/>
                <w:lang w:eastAsia="en-GB"/>
              </w:rPr>
              <w:t> </w:t>
            </w:r>
          </w:p>
        </w:tc>
        <w:tc>
          <w:tcPr>
            <w:tcW w:w="1540" w:type="dxa"/>
            <w:tcBorders>
              <w:top w:val="nil"/>
              <w:left w:val="single" w:sz="4" w:space="0" w:color="auto"/>
              <w:bottom w:val="single" w:sz="4" w:space="0" w:color="auto"/>
              <w:right w:val="nil"/>
            </w:tcBorders>
            <w:shd w:val="clear" w:color="000000" w:fill="D9D9D9"/>
            <w:noWrap/>
            <w:vAlign w:val="bottom"/>
            <w:hideMark/>
          </w:tcPr>
          <w:p w:rsidR="004E160A" w:rsidRPr="00C75F21" w:rsidRDefault="004E160A" w:rsidP="00BA4954">
            <w:pPr>
              <w:jc w:val="center"/>
              <w:rPr>
                <w:rFonts w:cs="Arial"/>
                <w:b/>
                <w:bCs/>
                <w:sz w:val="22"/>
                <w:szCs w:val="22"/>
                <w:lang w:eastAsia="en-GB"/>
              </w:rPr>
            </w:pPr>
            <w:r w:rsidRPr="00C75F21">
              <w:rPr>
                <w:rFonts w:cs="Arial"/>
                <w:b/>
                <w:bCs/>
                <w:sz w:val="22"/>
                <w:szCs w:val="22"/>
                <w:lang w:eastAsia="en-GB"/>
              </w:rPr>
              <w:t>£'000</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rsidR="004E160A" w:rsidRPr="00AA5A11" w:rsidRDefault="004E160A" w:rsidP="00BA4954">
            <w:pPr>
              <w:jc w:val="center"/>
              <w:rPr>
                <w:rFonts w:cs="Arial"/>
                <w:b/>
                <w:bCs/>
                <w:sz w:val="22"/>
                <w:szCs w:val="22"/>
                <w:lang w:eastAsia="en-GB"/>
              </w:rPr>
            </w:pPr>
            <w:r w:rsidRPr="00AA5A11">
              <w:rPr>
                <w:rFonts w:cs="Arial"/>
                <w:b/>
                <w:bCs/>
                <w:sz w:val="22"/>
                <w:szCs w:val="22"/>
                <w:lang w:eastAsia="en-GB"/>
              </w:rPr>
              <w:t>£'000</w:t>
            </w:r>
          </w:p>
        </w:tc>
      </w:tr>
      <w:tr w:rsidR="004E160A" w:rsidRPr="00C75F21" w:rsidTr="00A06591">
        <w:trPr>
          <w:trHeight w:val="285"/>
        </w:trPr>
        <w:tc>
          <w:tcPr>
            <w:tcW w:w="3220" w:type="dxa"/>
            <w:tcBorders>
              <w:top w:val="single" w:sz="4" w:space="0" w:color="auto"/>
              <w:left w:val="single" w:sz="4" w:space="0" w:color="auto"/>
              <w:bottom w:val="nil"/>
              <w:right w:val="nil"/>
            </w:tcBorders>
            <w:shd w:val="clear" w:color="auto" w:fill="auto"/>
            <w:noWrap/>
            <w:vAlign w:val="bottom"/>
            <w:hideMark/>
          </w:tcPr>
          <w:p w:rsidR="004E160A" w:rsidRPr="00AA5A11" w:rsidRDefault="004E160A" w:rsidP="00BA4954">
            <w:pPr>
              <w:rPr>
                <w:rFonts w:cs="Arial"/>
                <w:sz w:val="22"/>
                <w:szCs w:val="22"/>
                <w:lang w:eastAsia="en-GB"/>
              </w:rPr>
            </w:pPr>
            <w:r w:rsidRPr="00AA5A11">
              <w:rPr>
                <w:rFonts w:cs="Arial"/>
                <w:sz w:val="22"/>
                <w:szCs w:val="22"/>
                <w:lang w:eastAsia="en-GB"/>
              </w:rPr>
              <w:t>Borrowing</w:t>
            </w:r>
          </w:p>
        </w:tc>
        <w:tc>
          <w:tcPr>
            <w:tcW w:w="1540" w:type="dxa"/>
            <w:tcBorders>
              <w:top w:val="single" w:sz="4" w:space="0" w:color="auto"/>
              <w:left w:val="single" w:sz="4" w:space="0" w:color="auto"/>
              <w:bottom w:val="nil"/>
              <w:right w:val="nil"/>
            </w:tcBorders>
            <w:shd w:val="clear" w:color="auto" w:fill="auto"/>
            <w:noWrap/>
            <w:vAlign w:val="bottom"/>
          </w:tcPr>
          <w:p w:rsidR="004E160A" w:rsidRPr="00C75F21" w:rsidRDefault="00C62418" w:rsidP="00BA4954">
            <w:pPr>
              <w:jc w:val="right"/>
              <w:rPr>
                <w:rFonts w:cs="Arial"/>
                <w:sz w:val="22"/>
                <w:szCs w:val="22"/>
                <w:lang w:eastAsia="en-GB"/>
              </w:rPr>
            </w:pPr>
            <w:r>
              <w:rPr>
                <w:rFonts w:cs="Arial"/>
                <w:sz w:val="22"/>
                <w:szCs w:val="22"/>
                <w:lang w:eastAsia="en-GB"/>
              </w:rPr>
              <w:t>237,000</w:t>
            </w:r>
          </w:p>
        </w:tc>
        <w:tc>
          <w:tcPr>
            <w:tcW w:w="1540" w:type="dxa"/>
            <w:tcBorders>
              <w:top w:val="nil"/>
              <w:left w:val="single" w:sz="4" w:space="0" w:color="auto"/>
              <w:bottom w:val="nil"/>
              <w:right w:val="single" w:sz="4" w:space="0" w:color="auto"/>
            </w:tcBorders>
            <w:shd w:val="clear" w:color="auto" w:fill="auto"/>
            <w:noWrap/>
            <w:vAlign w:val="bottom"/>
          </w:tcPr>
          <w:p w:rsidR="004E160A" w:rsidRPr="00AA5A11" w:rsidRDefault="00C62418" w:rsidP="00BA4954">
            <w:pPr>
              <w:jc w:val="right"/>
              <w:rPr>
                <w:rFonts w:cs="Arial"/>
                <w:sz w:val="22"/>
                <w:szCs w:val="22"/>
                <w:lang w:eastAsia="en-GB"/>
              </w:rPr>
            </w:pPr>
            <w:r>
              <w:rPr>
                <w:rFonts w:cs="Arial"/>
                <w:sz w:val="22"/>
                <w:szCs w:val="22"/>
                <w:lang w:eastAsia="en-GB"/>
              </w:rPr>
              <w:t>236,000</w:t>
            </w:r>
          </w:p>
        </w:tc>
      </w:tr>
      <w:tr w:rsidR="004E160A" w:rsidRPr="00C75F21" w:rsidTr="00A06591">
        <w:trPr>
          <w:trHeight w:val="285"/>
        </w:trPr>
        <w:tc>
          <w:tcPr>
            <w:tcW w:w="3220" w:type="dxa"/>
            <w:tcBorders>
              <w:top w:val="nil"/>
              <w:left w:val="single" w:sz="4" w:space="0" w:color="auto"/>
              <w:bottom w:val="nil"/>
              <w:right w:val="nil"/>
            </w:tcBorders>
            <w:shd w:val="clear" w:color="auto" w:fill="auto"/>
            <w:noWrap/>
            <w:vAlign w:val="bottom"/>
            <w:hideMark/>
          </w:tcPr>
          <w:p w:rsidR="004E160A" w:rsidRPr="00AA5A11" w:rsidRDefault="004E160A" w:rsidP="00BA4954">
            <w:pPr>
              <w:rPr>
                <w:rFonts w:cs="Arial"/>
                <w:sz w:val="22"/>
                <w:szCs w:val="22"/>
                <w:lang w:eastAsia="en-GB"/>
              </w:rPr>
            </w:pPr>
            <w:r w:rsidRPr="00AA5A11">
              <w:rPr>
                <w:rFonts w:cs="Arial"/>
                <w:sz w:val="22"/>
                <w:szCs w:val="22"/>
                <w:lang w:eastAsia="en-GB"/>
              </w:rPr>
              <w:t>Other Long Term Liabilities</w:t>
            </w:r>
          </w:p>
        </w:tc>
        <w:tc>
          <w:tcPr>
            <w:tcW w:w="1540" w:type="dxa"/>
            <w:tcBorders>
              <w:top w:val="nil"/>
              <w:left w:val="single" w:sz="4" w:space="0" w:color="auto"/>
              <w:bottom w:val="nil"/>
              <w:right w:val="nil"/>
            </w:tcBorders>
            <w:shd w:val="clear" w:color="auto" w:fill="auto"/>
            <w:noWrap/>
            <w:vAlign w:val="bottom"/>
          </w:tcPr>
          <w:p w:rsidR="004E160A" w:rsidRPr="00C75F21" w:rsidRDefault="00C62418" w:rsidP="00BA4954">
            <w:pPr>
              <w:jc w:val="right"/>
              <w:rPr>
                <w:rFonts w:cs="Arial"/>
                <w:sz w:val="22"/>
                <w:szCs w:val="22"/>
                <w:lang w:eastAsia="en-GB"/>
              </w:rPr>
            </w:pPr>
            <w:r>
              <w:rPr>
                <w:rFonts w:cs="Arial"/>
                <w:sz w:val="22"/>
                <w:szCs w:val="22"/>
                <w:lang w:eastAsia="en-GB"/>
              </w:rPr>
              <w:t>1,000</w:t>
            </w:r>
          </w:p>
        </w:tc>
        <w:tc>
          <w:tcPr>
            <w:tcW w:w="1540" w:type="dxa"/>
            <w:tcBorders>
              <w:top w:val="nil"/>
              <w:left w:val="single" w:sz="4" w:space="0" w:color="auto"/>
              <w:bottom w:val="nil"/>
              <w:right w:val="single" w:sz="4" w:space="0" w:color="auto"/>
            </w:tcBorders>
            <w:shd w:val="clear" w:color="auto" w:fill="auto"/>
            <w:noWrap/>
            <w:vAlign w:val="bottom"/>
          </w:tcPr>
          <w:p w:rsidR="004E160A" w:rsidRPr="00AA5A11" w:rsidRDefault="001B7647" w:rsidP="00BA4954">
            <w:pPr>
              <w:jc w:val="right"/>
              <w:rPr>
                <w:rFonts w:cs="Arial"/>
                <w:sz w:val="22"/>
                <w:szCs w:val="22"/>
                <w:lang w:eastAsia="en-GB"/>
              </w:rPr>
            </w:pPr>
            <w:r>
              <w:rPr>
                <w:rFonts w:cs="Arial"/>
                <w:sz w:val="22"/>
                <w:szCs w:val="22"/>
                <w:lang w:eastAsia="en-GB"/>
              </w:rPr>
              <w:t>0</w:t>
            </w:r>
          </w:p>
        </w:tc>
      </w:tr>
      <w:tr w:rsidR="004E160A" w:rsidRPr="00C75F21" w:rsidTr="00A06591">
        <w:trPr>
          <w:trHeight w:val="300"/>
        </w:trPr>
        <w:tc>
          <w:tcPr>
            <w:tcW w:w="3220" w:type="dxa"/>
            <w:tcBorders>
              <w:top w:val="nil"/>
              <w:left w:val="single" w:sz="4" w:space="0" w:color="auto"/>
              <w:bottom w:val="single" w:sz="4" w:space="0" w:color="auto"/>
              <w:right w:val="nil"/>
            </w:tcBorders>
            <w:shd w:val="clear" w:color="auto" w:fill="auto"/>
            <w:noWrap/>
            <w:vAlign w:val="bottom"/>
            <w:hideMark/>
          </w:tcPr>
          <w:p w:rsidR="004E160A" w:rsidRPr="00AA5A11" w:rsidRDefault="004E160A" w:rsidP="00BA4954">
            <w:pPr>
              <w:rPr>
                <w:rFonts w:cs="Arial"/>
                <w:b/>
                <w:bCs/>
                <w:sz w:val="22"/>
                <w:szCs w:val="22"/>
                <w:lang w:eastAsia="en-GB"/>
              </w:rPr>
            </w:pPr>
            <w:r w:rsidRPr="00AA5A11">
              <w:rPr>
                <w:rFonts w:cs="Arial"/>
                <w:b/>
                <w:bCs/>
                <w:sz w:val="22"/>
                <w:szCs w:val="22"/>
                <w:lang w:eastAsia="en-GB"/>
              </w:rPr>
              <w:t>Totals</w:t>
            </w:r>
          </w:p>
        </w:tc>
        <w:tc>
          <w:tcPr>
            <w:tcW w:w="1540" w:type="dxa"/>
            <w:tcBorders>
              <w:top w:val="nil"/>
              <w:left w:val="single" w:sz="4" w:space="0" w:color="auto"/>
              <w:bottom w:val="single" w:sz="4" w:space="0" w:color="auto"/>
              <w:right w:val="nil"/>
            </w:tcBorders>
            <w:shd w:val="clear" w:color="auto" w:fill="auto"/>
            <w:noWrap/>
            <w:vAlign w:val="bottom"/>
          </w:tcPr>
          <w:p w:rsidR="004E160A" w:rsidRPr="00C75F21" w:rsidRDefault="00C62418" w:rsidP="00BA4954">
            <w:pPr>
              <w:jc w:val="right"/>
              <w:rPr>
                <w:rFonts w:cs="Arial"/>
                <w:b/>
                <w:bCs/>
                <w:sz w:val="22"/>
                <w:szCs w:val="22"/>
                <w:lang w:eastAsia="en-GB"/>
              </w:rPr>
            </w:pPr>
            <w:r>
              <w:rPr>
                <w:rFonts w:cs="Arial"/>
                <w:b/>
                <w:bCs/>
                <w:sz w:val="22"/>
                <w:szCs w:val="22"/>
                <w:lang w:eastAsia="en-GB"/>
              </w:rPr>
              <w:t>238,000</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4E160A" w:rsidRPr="00AA5A11" w:rsidRDefault="00C62418" w:rsidP="00BA4954">
            <w:pPr>
              <w:jc w:val="right"/>
              <w:rPr>
                <w:rFonts w:cs="Arial"/>
                <w:b/>
                <w:bCs/>
                <w:sz w:val="22"/>
                <w:szCs w:val="22"/>
                <w:lang w:eastAsia="en-GB"/>
              </w:rPr>
            </w:pPr>
            <w:r>
              <w:rPr>
                <w:rFonts w:cs="Arial"/>
                <w:b/>
                <w:bCs/>
                <w:sz w:val="22"/>
                <w:szCs w:val="22"/>
                <w:lang w:eastAsia="en-GB"/>
              </w:rPr>
              <w:t>236,000</w:t>
            </w:r>
          </w:p>
        </w:tc>
      </w:tr>
    </w:tbl>
    <w:p w:rsidR="004E160A" w:rsidRDefault="004E160A" w:rsidP="004E160A">
      <w:pPr>
        <w:ind w:left="502"/>
      </w:pPr>
    </w:p>
    <w:p w:rsidR="00151A6A" w:rsidRDefault="00151A6A" w:rsidP="00BC1A13">
      <w:pPr>
        <w:numPr>
          <w:ilvl w:val="0"/>
          <w:numId w:val="3"/>
        </w:numPr>
        <w:ind w:hanging="502"/>
      </w:pPr>
      <w:r w:rsidRPr="00151A6A">
        <w:rPr>
          <w:b/>
          <w:i/>
        </w:rPr>
        <w:t>Actual financing costs as a proportion of net revenue stream</w:t>
      </w:r>
      <w:r w:rsidRPr="00151A6A">
        <w:t xml:space="preserve"> – this indicator identifies the trend in the net cost of capital against the net revenue stream and is an indicator of affordability.  Table 7 below shows that for the General Fund, the ratio is negative as PWLB loans have been repaid and investment income is positive.  The HRA ratio has improved slightly due to improved investment returns compared to the previous year.</w:t>
      </w:r>
    </w:p>
    <w:p w:rsidR="00CE07AA" w:rsidRPr="00AA6F7F" w:rsidRDefault="00CE07AA" w:rsidP="00CE07AA">
      <w:pPr>
        <w:ind w:left="502"/>
      </w:pPr>
    </w:p>
    <w:p w:rsidR="00E16EAE" w:rsidRPr="00A937AD" w:rsidRDefault="00E16EAE" w:rsidP="004E160A">
      <w:pPr>
        <w:ind w:left="360"/>
        <w:rPr>
          <w:b/>
        </w:rPr>
      </w:pPr>
      <w:r w:rsidRPr="00A937AD">
        <w:rPr>
          <w:b/>
        </w:rPr>
        <w:t>Table 7</w:t>
      </w:r>
    </w:p>
    <w:tbl>
      <w:tblPr>
        <w:tblW w:w="8620" w:type="dxa"/>
        <w:tblInd w:w="103" w:type="dxa"/>
        <w:tblLook w:val="04A0" w:firstRow="1" w:lastRow="0" w:firstColumn="1" w:lastColumn="0" w:noHBand="0" w:noVBand="1"/>
      </w:tblPr>
      <w:tblGrid>
        <w:gridCol w:w="5540"/>
        <w:gridCol w:w="1540"/>
        <w:gridCol w:w="1540"/>
      </w:tblGrid>
      <w:tr w:rsidR="002F7007" w:rsidRPr="00B9594A" w:rsidTr="002F7007">
        <w:trPr>
          <w:trHeight w:val="300"/>
        </w:trPr>
        <w:tc>
          <w:tcPr>
            <w:tcW w:w="5540" w:type="dxa"/>
            <w:tcBorders>
              <w:top w:val="single" w:sz="4" w:space="0" w:color="auto"/>
              <w:left w:val="single" w:sz="4" w:space="0" w:color="auto"/>
              <w:bottom w:val="nil"/>
              <w:right w:val="single" w:sz="4" w:space="0" w:color="auto"/>
            </w:tcBorders>
            <w:shd w:val="clear" w:color="000000" w:fill="D9D9D9"/>
            <w:noWrap/>
            <w:vAlign w:val="bottom"/>
            <w:hideMark/>
          </w:tcPr>
          <w:p w:rsidR="002F7007" w:rsidRPr="00A937AD" w:rsidRDefault="002F7007" w:rsidP="002F7007">
            <w:pPr>
              <w:rPr>
                <w:rFonts w:cs="Arial"/>
                <w:b/>
                <w:bCs/>
                <w:sz w:val="22"/>
                <w:szCs w:val="22"/>
                <w:lang w:eastAsia="en-GB"/>
              </w:rPr>
            </w:pPr>
            <w:r w:rsidRPr="00A937AD">
              <w:rPr>
                <w:rFonts w:cs="Arial"/>
                <w:b/>
                <w:bCs/>
                <w:sz w:val="22"/>
                <w:szCs w:val="22"/>
                <w:lang w:eastAsia="en-GB"/>
              </w:rPr>
              <w:t>Actual Finance Costs</w:t>
            </w:r>
          </w:p>
        </w:tc>
        <w:tc>
          <w:tcPr>
            <w:tcW w:w="1540" w:type="dxa"/>
            <w:tcBorders>
              <w:top w:val="single" w:sz="4" w:space="0" w:color="auto"/>
              <w:left w:val="nil"/>
              <w:bottom w:val="nil"/>
              <w:right w:val="nil"/>
            </w:tcBorders>
            <w:shd w:val="clear" w:color="000000" w:fill="D9D9D9"/>
            <w:noWrap/>
            <w:vAlign w:val="bottom"/>
            <w:hideMark/>
          </w:tcPr>
          <w:p w:rsidR="002F7007" w:rsidRPr="00A937AD" w:rsidRDefault="002F7007" w:rsidP="00C62418">
            <w:pPr>
              <w:jc w:val="center"/>
              <w:rPr>
                <w:rFonts w:cs="Arial"/>
                <w:b/>
                <w:bCs/>
                <w:sz w:val="22"/>
                <w:szCs w:val="22"/>
                <w:lang w:eastAsia="en-GB"/>
              </w:rPr>
            </w:pPr>
            <w:r w:rsidRPr="00A937AD">
              <w:rPr>
                <w:rFonts w:cs="Arial"/>
                <w:b/>
                <w:bCs/>
                <w:sz w:val="22"/>
                <w:szCs w:val="22"/>
                <w:lang w:eastAsia="en-GB"/>
              </w:rPr>
              <w:t>201</w:t>
            </w:r>
            <w:r w:rsidR="00C62418">
              <w:rPr>
                <w:rFonts w:cs="Arial"/>
                <w:b/>
                <w:bCs/>
                <w:sz w:val="22"/>
                <w:szCs w:val="22"/>
                <w:lang w:eastAsia="en-GB"/>
              </w:rPr>
              <w:t>3</w:t>
            </w:r>
            <w:r w:rsidRPr="00A937AD">
              <w:rPr>
                <w:rFonts w:cs="Arial"/>
                <w:b/>
                <w:bCs/>
                <w:sz w:val="22"/>
                <w:szCs w:val="22"/>
                <w:lang w:eastAsia="en-GB"/>
              </w:rPr>
              <w:t>/1</w:t>
            </w:r>
            <w:r w:rsidR="00C62418">
              <w:rPr>
                <w:rFonts w:cs="Arial"/>
                <w:b/>
                <w:bCs/>
                <w:sz w:val="22"/>
                <w:szCs w:val="22"/>
                <w:lang w:eastAsia="en-GB"/>
              </w:rPr>
              <w:t>4</w:t>
            </w:r>
          </w:p>
        </w:tc>
        <w:tc>
          <w:tcPr>
            <w:tcW w:w="1540" w:type="dxa"/>
            <w:tcBorders>
              <w:top w:val="single" w:sz="4" w:space="0" w:color="auto"/>
              <w:left w:val="nil"/>
              <w:bottom w:val="nil"/>
              <w:right w:val="single" w:sz="4" w:space="0" w:color="auto"/>
            </w:tcBorders>
            <w:shd w:val="clear" w:color="000000" w:fill="D9D9D9"/>
            <w:noWrap/>
            <w:vAlign w:val="bottom"/>
            <w:hideMark/>
          </w:tcPr>
          <w:p w:rsidR="002F7007" w:rsidRPr="00494170" w:rsidRDefault="002F7007" w:rsidP="00C62418">
            <w:pPr>
              <w:jc w:val="center"/>
              <w:rPr>
                <w:rFonts w:cs="Arial"/>
                <w:b/>
                <w:bCs/>
                <w:sz w:val="22"/>
                <w:szCs w:val="22"/>
                <w:lang w:eastAsia="en-GB"/>
              </w:rPr>
            </w:pPr>
            <w:r w:rsidRPr="00494170">
              <w:rPr>
                <w:rFonts w:cs="Arial"/>
                <w:b/>
                <w:bCs/>
                <w:sz w:val="22"/>
                <w:szCs w:val="22"/>
                <w:lang w:eastAsia="en-GB"/>
              </w:rPr>
              <w:t>201</w:t>
            </w:r>
            <w:r w:rsidR="00C62418">
              <w:rPr>
                <w:rFonts w:cs="Arial"/>
                <w:b/>
                <w:bCs/>
                <w:sz w:val="22"/>
                <w:szCs w:val="22"/>
                <w:lang w:eastAsia="en-GB"/>
              </w:rPr>
              <w:t>4</w:t>
            </w:r>
            <w:r w:rsidRPr="00494170">
              <w:rPr>
                <w:rFonts w:cs="Arial"/>
                <w:b/>
                <w:bCs/>
                <w:sz w:val="22"/>
                <w:szCs w:val="22"/>
                <w:lang w:eastAsia="en-GB"/>
              </w:rPr>
              <w:t>/1</w:t>
            </w:r>
            <w:r w:rsidR="00C62418">
              <w:rPr>
                <w:rFonts w:cs="Arial"/>
                <w:b/>
                <w:bCs/>
                <w:sz w:val="22"/>
                <w:szCs w:val="22"/>
                <w:lang w:eastAsia="en-GB"/>
              </w:rPr>
              <w:t>5</w:t>
            </w:r>
          </w:p>
        </w:tc>
      </w:tr>
      <w:tr w:rsidR="002F7007" w:rsidRPr="00B9594A" w:rsidTr="002F7007">
        <w:trPr>
          <w:trHeight w:val="300"/>
        </w:trPr>
        <w:tc>
          <w:tcPr>
            <w:tcW w:w="5540" w:type="dxa"/>
            <w:tcBorders>
              <w:top w:val="nil"/>
              <w:left w:val="single" w:sz="4" w:space="0" w:color="auto"/>
              <w:bottom w:val="single" w:sz="4" w:space="0" w:color="auto"/>
              <w:right w:val="single" w:sz="4" w:space="0" w:color="auto"/>
            </w:tcBorders>
            <w:shd w:val="clear" w:color="000000" w:fill="D9D9D9"/>
            <w:noWrap/>
            <w:vAlign w:val="bottom"/>
            <w:hideMark/>
          </w:tcPr>
          <w:p w:rsidR="002F7007" w:rsidRPr="00A937AD" w:rsidRDefault="002F7007" w:rsidP="002F7007">
            <w:pPr>
              <w:rPr>
                <w:rFonts w:cs="Arial"/>
                <w:sz w:val="22"/>
                <w:szCs w:val="22"/>
                <w:lang w:eastAsia="en-GB"/>
              </w:rPr>
            </w:pPr>
            <w:r w:rsidRPr="00A937AD">
              <w:rPr>
                <w:rFonts w:cs="Arial"/>
                <w:sz w:val="22"/>
                <w:szCs w:val="22"/>
                <w:lang w:eastAsia="en-GB"/>
              </w:rPr>
              <w:t> </w:t>
            </w:r>
          </w:p>
        </w:tc>
        <w:tc>
          <w:tcPr>
            <w:tcW w:w="1540" w:type="dxa"/>
            <w:tcBorders>
              <w:top w:val="nil"/>
              <w:left w:val="nil"/>
              <w:bottom w:val="single" w:sz="4" w:space="0" w:color="auto"/>
              <w:right w:val="nil"/>
            </w:tcBorders>
            <w:shd w:val="clear" w:color="000000" w:fill="D9D9D9"/>
            <w:noWrap/>
            <w:vAlign w:val="bottom"/>
            <w:hideMark/>
          </w:tcPr>
          <w:p w:rsidR="002F7007" w:rsidRPr="00A937AD" w:rsidRDefault="002F7007" w:rsidP="002F7007">
            <w:pPr>
              <w:jc w:val="center"/>
              <w:rPr>
                <w:rFonts w:cs="Arial"/>
                <w:b/>
                <w:bCs/>
                <w:sz w:val="22"/>
                <w:szCs w:val="22"/>
                <w:lang w:eastAsia="en-GB"/>
              </w:rPr>
            </w:pPr>
            <w:r w:rsidRPr="00A937AD">
              <w:rPr>
                <w:rFonts w:cs="Arial"/>
                <w:b/>
                <w:bCs/>
                <w:sz w:val="22"/>
                <w:szCs w:val="22"/>
                <w:lang w:eastAsia="en-GB"/>
              </w:rPr>
              <w:t>£'000</w:t>
            </w:r>
          </w:p>
        </w:tc>
        <w:tc>
          <w:tcPr>
            <w:tcW w:w="1540" w:type="dxa"/>
            <w:tcBorders>
              <w:top w:val="nil"/>
              <w:left w:val="nil"/>
              <w:bottom w:val="single" w:sz="4" w:space="0" w:color="auto"/>
              <w:right w:val="single" w:sz="4" w:space="0" w:color="auto"/>
            </w:tcBorders>
            <w:shd w:val="clear" w:color="000000" w:fill="D9D9D9"/>
            <w:noWrap/>
            <w:vAlign w:val="bottom"/>
            <w:hideMark/>
          </w:tcPr>
          <w:p w:rsidR="002F7007" w:rsidRPr="00494170" w:rsidRDefault="002F7007" w:rsidP="002F7007">
            <w:pPr>
              <w:jc w:val="center"/>
              <w:rPr>
                <w:rFonts w:cs="Arial"/>
                <w:b/>
                <w:bCs/>
                <w:sz w:val="22"/>
                <w:szCs w:val="22"/>
                <w:lang w:eastAsia="en-GB"/>
              </w:rPr>
            </w:pPr>
            <w:r w:rsidRPr="00494170">
              <w:rPr>
                <w:rFonts w:cs="Arial"/>
                <w:b/>
                <w:bCs/>
                <w:sz w:val="22"/>
                <w:szCs w:val="22"/>
                <w:lang w:eastAsia="en-GB"/>
              </w:rPr>
              <w:t>£'000</w:t>
            </w:r>
          </w:p>
        </w:tc>
      </w:tr>
      <w:tr w:rsidR="002F7007" w:rsidRPr="00B9594A" w:rsidTr="002F7007">
        <w:trPr>
          <w:trHeight w:val="300"/>
        </w:trPr>
        <w:tc>
          <w:tcPr>
            <w:tcW w:w="5540" w:type="dxa"/>
            <w:tcBorders>
              <w:top w:val="single" w:sz="4" w:space="0" w:color="auto"/>
              <w:left w:val="single" w:sz="4" w:space="0" w:color="auto"/>
              <w:bottom w:val="nil"/>
              <w:right w:val="nil"/>
            </w:tcBorders>
            <w:shd w:val="clear" w:color="auto" w:fill="auto"/>
            <w:noWrap/>
            <w:vAlign w:val="bottom"/>
            <w:hideMark/>
          </w:tcPr>
          <w:p w:rsidR="002F7007" w:rsidRPr="00A937AD" w:rsidRDefault="002F7007" w:rsidP="002F7007">
            <w:pPr>
              <w:rPr>
                <w:rFonts w:cs="Arial"/>
                <w:b/>
                <w:bCs/>
                <w:sz w:val="22"/>
                <w:szCs w:val="22"/>
                <w:lang w:eastAsia="en-GB"/>
              </w:rPr>
            </w:pPr>
            <w:r w:rsidRPr="00A937AD">
              <w:rPr>
                <w:rFonts w:cs="Arial"/>
                <w:b/>
                <w:bCs/>
                <w:sz w:val="22"/>
                <w:szCs w:val="22"/>
                <w:lang w:eastAsia="en-GB"/>
              </w:rPr>
              <w:t>Indicators</w:t>
            </w:r>
          </w:p>
        </w:tc>
        <w:tc>
          <w:tcPr>
            <w:tcW w:w="1540" w:type="dxa"/>
            <w:tcBorders>
              <w:top w:val="nil"/>
              <w:left w:val="single" w:sz="4" w:space="0" w:color="auto"/>
              <w:bottom w:val="nil"/>
              <w:right w:val="single" w:sz="4" w:space="0" w:color="auto"/>
            </w:tcBorders>
            <w:shd w:val="clear" w:color="auto" w:fill="auto"/>
            <w:noWrap/>
            <w:vAlign w:val="bottom"/>
            <w:hideMark/>
          </w:tcPr>
          <w:p w:rsidR="002F7007" w:rsidRPr="00494170" w:rsidRDefault="002F7007" w:rsidP="002F7007">
            <w:pPr>
              <w:rPr>
                <w:rFonts w:cs="Arial"/>
                <w:sz w:val="22"/>
                <w:szCs w:val="22"/>
                <w:lang w:eastAsia="en-GB"/>
              </w:rPr>
            </w:pPr>
            <w:r w:rsidRPr="00494170">
              <w:rPr>
                <w:rFonts w:cs="Arial"/>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rsidR="002F7007" w:rsidRPr="00494170" w:rsidRDefault="002F7007" w:rsidP="002F7007">
            <w:pPr>
              <w:rPr>
                <w:rFonts w:cs="Arial"/>
                <w:sz w:val="22"/>
                <w:szCs w:val="22"/>
                <w:lang w:eastAsia="en-GB"/>
              </w:rPr>
            </w:pPr>
            <w:r w:rsidRPr="00494170">
              <w:rPr>
                <w:rFonts w:cs="Arial"/>
                <w:sz w:val="22"/>
                <w:szCs w:val="22"/>
                <w:lang w:eastAsia="en-GB"/>
              </w:rPr>
              <w:t> </w:t>
            </w:r>
          </w:p>
        </w:tc>
      </w:tr>
      <w:tr w:rsidR="00A937AD" w:rsidRPr="00B9594A" w:rsidTr="0098278E">
        <w:trPr>
          <w:trHeight w:val="285"/>
        </w:trPr>
        <w:tc>
          <w:tcPr>
            <w:tcW w:w="5540" w:type="dxa"/>
            <w:tcBorders>
              <w:top w:val="nil"/>
              <w:left w:val="single" w:sz="4" w:space="0" w:color="auto"/>
              <w:bottom w:val="nil"/>
              <w:right w:val="nil"/>
            </w:tcBorders>
            <w:shd w:val="clear" w:color="auto" w:fill="auto"/>
            <w:noWrap/>
            <w:vAlign w:val="bottom"/>
            <w:hideMark/>
          </w:tcPr>
          <w:p w:rsidR="00A937AD" w:rsidRPr="00CE07AA" w:rsidRDefault="00A937AD" w:rsidP="002F7007">
            <w:pPr>
              <w:rPr>
                <w:rFonts w:cs="Arial"/>
                <w:sz w:val="22"/>
                <w:szCs w:val="22"/>
                <w:lang w:eastAsia="en-GB"/>
              </w:rPr>
            </w:pPr>
            <w:r w:rsidRPr="00CE07AA">
              <w:rPr>
                <w:rFonts w:cs="Arial"/>
                <w:sz w:val="22"/>
                <w:szCs w:val="22"/>
                <w:lang w:eastAsia="en-GB"/>
              </w:rPr>
              <w:t>Original Indicator - Authorised Limit</w:t>
            </w:r>
          </w:p>
        </w:tc>
        <w:tc>
          <w:tcPr>
            <w:tcW w:w="1540" w:type="dxa"/>
            <w:tcBorders>
              <w:top w:val="nil"/>
              <w:left w:val="single" w:sz="4" w:space="0" w:color="auto"/>
              <w:bottom w:val="nil"/>
              <w:right w:val="single" w:sz="4" w:space="0" w:color="auto"/>
            </w:tcBorders>
            <w:shd w:val="clear" w:color="auto" w:fill="auto"/>
            <w:noWrap/>
            <w:vAlign w:val="bottom"/>
          </w:tcPr>
          <w:p w:rsidR="00A937AD" w:rsidRPr="00CE07AA" w:rsidRDefault="00C62418" w:rsidP="005E3247">
            <w:pPr>
              <w:jc w:val="right"/>
              <w:rPr>
                <w:rFonts w:cs="Arial"/>
                <w:sz w:val="22"/>
                <w:szCs w:val="22"/>
                <w:lang w:eastAsia="en-GB"/>
              </w:rPr>
            </w:pPr>
            <w:r w:rsidRPr="00CE07AA">
              <w:rPr>
                <w:rFonts w:cs="Arial"/>
                <w:sz w:val="22"/>
                <w:szCs w:val="22"/>
                <w:lang w:eastAsia="en-GB"/>
              </w:rPr>
              <w:t>249,000</w:t>
            </w:r>
          </w:p>
        </w:tc>
        <w:tc>
          <w:tcPr>
            <w:tcW w:w="1540" w:type="dxa"/>
            <w:tcBorders>
              <w:top w:val="nil"/>
              <w:left w:val="nil"/>
              <w:bottom w:val="nil"/>
              <w:right w:val="single" w:sz="4" w:space="0" w:color="auto"/>
            </w:tcBorders>
            <w:shd w:val="clear" w:color="auto" w:fill="auto"/>
            <w:noWrap/>
            <w:vAlign w:val="bottom"/>
          </w:tcPr>
          <w:p w:rsidR="00A937AD" w:rsidRPr="00494170" w:rsidRDefault="009447C2" w:rsidP="002F7007">
            <w:pPr>
              <w:jc w:val="right"/>
              <w:rPr>
                <w:rFonts w:cs="Arial"/>
                <w:sz w:val="22"/>
                <w:szCs w:val="22"/>
                <w:lang w:eastAsia="en-GB"/>
              </w:rPr>
            </w:pPr>
            <w:r w:rsidRPr="00CE07AA">
              <w:rPr>
                <w:rFonts w:cs="Arial"/>
                <w:sz w:val="22"/>
                <w:szCs w:val="22"/>
                <w:lang w:eastAsia="en-GB"/>
              </w:rPr>
              <w:t>247,000</w:t>
            </w:r>
          </w:p>
        </w:tc>
      </w:tr>
      <w:tr w:rsidR="00A937AD" w:rsidRPr="00B9594A" w:rsidTr="0098278E">
        <w:trPr>
          <w:trHeight w:val="285"/>
        </w:trPr>
        <w:tc>
          <w:tcPr>
            <w:tcW w:w="5540" w:type="dxa"/>
            <w:tcBorders>
              <w:top w:val="nil"/>
              <w:left w:val="single" w:sz="4" w:space="0" w:color="auto"/>
              <w:bottom w:val="nil"/>
              <w:right w:val="nil"/>
            </w:tcBorders>
            <w:shd w:val="clear" w:color="auto" w:fill="auto"/>
            <w:noWrap/>
            <w:vAlign w:val="bottom"/>
            <w:hideMark/>
          </w:tcPr>
          <w:p w:rsidR="00A937AD" w:rsidRPr="00A937AD" w:rsidRDefault="00A937AD" w:rsidP="002F7007">
            <w:pPr>
              <w:rPr>
                <w:rFonts w:cs="Arial"/>
                <w:sz w:val="22"/>
                <w:szCs w:val="22"/>
                <w:lang w:eastAsia="en-GB"/>
              </w:rPr>
            </w:pPr>
            <w:r w:rsidRPr="00A937AD">
              <w:rPr>
                <w:rFonts w:cs="Arial"/>
                <w:sz w:val="22"/>
                <w:szCs w:val="22"/>
                <w:lang w:eastAsia="en-GB"/>
              </w:rPr>
              <w:t>Original Indicator - Operational Boundary</w:t>
            </w:r>
          </w:p>
        </w:tc>
        <w:tc>
          <w:tcPr>
            <w:tcW w:w="1540" w:type="dxa"/>
            <w:tcBorders>
              <w:top w:val="nil"/>
              <w:left w:val="single" w:sz="4" w:space="0" w:color="auto"/>
              <w:bottom w:val="nil"/>
              <w:right w:val="single" w:sz="4" w:space="0" w:color="auto"/>
            </w:tcBorders>
            <w:shd w:val="clear" w:color="auto" w:fill="auto"/>
            <w:noWrap/>
            <w:vAlign w:val="bottom"/>
          </w:tcPr>
          <w:p w:rsidR="00A937AD" w:rsidRPr="00962AA7" w:rsidRDefault="00C62418" w:rsidP="005E3247">
            <w:pPr>
              <w:jc w:val="right"/>
              <w:rPr>
                <w:rFonts w:cs="Arial"/>
                <w:sz w:val="22"/>
                <w:szCs w:val="22"/>
                <w:lang w:eastAsia="en-GB"/>
              </w:rPr>
            </w:pPr>
            <w:r>
              <w:rPr>
                <w:rFonts w:cs="Arial"/>
                <w:sz w:val="22"/>
                <w:szCs w:val="22"/>
                <w:lang w:eastAsia="en-GB"/>
              </w:rPr>
              <w:t>238,000</w:t>
            </w:r>
          </w:p>
        </w:tc>
        <w:tc>
          <w:tcPr>
            <w:tcW w:w="1540" w:type="dxa"/>
            <w:tcBorders>
              <w:top w:val="nil"/>
              <w:left w:val="nil"/>
              <w:bottom w:val="nil"/>
              <w:right w:val="single" w:sz="4" w:space="0" w:color="auto"/>
            </w:tcBorders>
            <w:shd w:val="clear" w:color="auto" w:fill="auto"/>
            <w:noWrap/>
            <w:vAlign w:val="bottom"/>
          </w:tcPr>
          <w:p w:rsidR="00A937AD" w:rsidRPr="00494170" w:rsidRDefault="00C62418" w:rsidP="002F7007">
            <w:pPr>
              <w:jc w:val="right"/>
              <w:rPr>
                <w:rFonts w:cs="Arial"/>
                <w:sz w:val="22"/>
                <w:szCs w:val="22"/>
                <w:lang w:eastAsia="en-GB"/>
              </w:rPr>
            </w:pPr>
            <w:r>
              <w:rPr>
                <w:rFonts w:cs="Arial"/>
                <w:sz w:val="22"/>
                <w:szCs w:val="22"/>
                <w:lang w:eastAsia="en-GB"/>
              </w:rPr>
              <w:t>236,000</w:t>
            </w:r>
          </w:p>
        </w:tc>
      </w:tr>
      <w:tr w:rsidR="00A937AD" w:rsidRPr="00B9594A" w:rsidTr="0098278E">
        <w:trPr>
          <w:trHeight w:val="285"/>
        </w:trPr>
        <w:tc>
          <w:tcPr>
            <w:tcW w:w="5540" w:type="dxa"/>
            <w:tcBorders>
              <w:top w:val="nil"/>
              <w:left w:val="single" w:sz="4" w:space="0" w:color="auto"/>
              <w:bottom w:val="nil"/>
              <w:right w:val="nil"/>
            </w:tcBorders>
            <w:shd w:val="clear" w:color="auto" w:fill="auto"/>
            <w:noWrap/>
            <w:vAlign w:val="bottom"/>
            <w:hideMark/>
          </w:tcPr>
          <w:p w:rsidR="00A937AD" w:rsidRPr="00A937AD" w:rsidRDefault="00A937AD" w:rsidP="002F7007">
            <w:pPr>
              <w:rPr>
                <w:rFonts w:cs="Arial"/>
                <w:sz w:val="22"/>
                <w:szCs w:val="22"/>
                <w:lang w:eastAsia="en-GB"/>
              </w:rPr>
            </w:pPr>
            <w:r w:rsidRPr="00A937AD">
              <w:rPr>
                <w:rFonts w:cs="Arial"/>
                <w:sz w:val="22"/>
                <w:szCs w:val="22"/>
                <w:lang w:eastAsia="en-GB"/>
              </w:rPr>
              <w:t> </w:t>
            </w:r>
          </w:p>
        </w:tc>
        <w:tc>
          <w:tcPr>
            <w:tcW w:w="1540" w:type="dxa"/>
            <w:tcBorders>
              <w:top w:val="nil"/>
              <w:left w:val="single" w:sz="4" w:space="0" w:color="auto"/>
              <w:bottom w:val="nil"/>
              <w:right w:val="single" w:sz="4" w:space="0" w:color="auto"/>
            </w:tcBorders>
            <w:shd w:val="clear" w:color="auto" w:fill="auto"/>
            <w:noWrap/>
            <w:vAlign w:val="bottom"/>
          </w:tcPr>
          <w:p w:rsidR="00A937AD" w:rsidRPr="00962AA7" w:rsidRDefault="00A937AD" w:rsidP="005E3247">
            <w:pPr>
              <w:rPr>
                <w:rFonts w:cs="Arial"/>
                <w:sz w:val="22"/>
                <w:szCs w:val="22"/>
                <w:lang w:eastAsia="en-GB"/>
              </w:rPr>
            </w:pPr>
          </w:p>
        </w:tc>
        <w:tc>
          <w:tcPr>
            <w:tcW w:w="1540" w:type="dxa"/>
            <w:tcBorders>
              <w:top w:val="nil"/>
              <w:left w:val="nil"/>
              <w:bottom w:val="nil"/>
              <w:right w:val="single" w:sz="4" w:space="0" w:color="auto"/>
            </w:tcBorders>
            <w:shd w:val="clear" w:color="auto" w:fill="auto"/>
            <w:noWrap/>
            <w:vAlign w:val="bottom"/>
          </w:tcPr>
          <w:p w:rsidR="00A937AD" w:rsidRPr="00494170" w:rsidRDefault="00A937AD" w:rsidP="002F7007">
            <w:pPr>
              <w:rPr>
                <w:rFonts w:cs="Arial"/>
                <w:sz w:val="22"/>
                <w:szCs w:val="22"/>
                <w:lang w:eastAsia="en-GB"/>
              </w:rPr>
            </w:pPr>
          </w:p>
        </w:tc>
      </w:tr>
      <w:tr w:rsidR="00A937AD" w:rsidRPr="00B9594A" w:rsidTr="0098278E">
        <w:trPr>
          <w:trHeight w:val="570"/>
        </w:trPr>
        <w:tc>
          <w:tcPr>
            <w:tcW w:w="5540" w:type="dxa"/>
            <w:tcBorders>
              <w:top w:val="nil"/>
              <w:left w:val="single" w:sz="4" w:space="0" w:color="auto"/>
              <w:bottom w:val="nil"/>
              <w:right w:val="nil"/>
            </w:tcBorders>
            <w:shd w:val="clear" w:color="auto" w:fill="auto"/>
            <w:vAlign w:val="bottom"/>
            <w:hideMark/>
          </w:tcPr>
          <w:p w:rsidR="00A937AD" w:rsidRPr="00A937AD" w:rsidRDefault="00A937AD" w:rsidP="002F7007">
            <w:pPr>
              <w:rPr>
                <w:rFonts w:cs="Arial"/>
                <w:sz w:val="22"/>
                <w:szCs w:val="22"/>
                <w:lang w:eastAsia="en-GB"/>
              </w:rPr>
            </w:pPr>
            <w:r w:rsidRPr="00A937AD">
              <w:rPr>
                <w:rFonts w:cs="Arial"/>
                <w:sz w:val="22"/>
                <w:szCs w:val="22"/>
                <w:lang w:eastAsia="en-GB"/>
              </w:rPr>
              <w:t>Financing Costs as a proportion of Net Revenue Stream - General Fund</w:t>
            </w:r>
          </w:p>
        </w:tc>
        <w:tc>
          <w:tcPr>
            <w:tcW w:w="1540" w:type="dxa"/>
            <w:tcBorders>
              <w:top w:val="nil"/>
              <w:left w:val="single" w:sz="4" w:space="0" w:color="auto"/>
              <w:bottom w:val="nil"/>
              <w:right w:val="single" w:sz="4" w:space="0" w:color="auto"/>
            </w:tcBorders>
            <w:shd w:val="clear" w:color="auto" w:fill="auto"/>
            <w:noWrap/>
            <w:vAlign w:val="bottom"/>
          </w:tcPr>
          <w:p w:rsidR="00A937AD" w:rsidRPr="00962AA7" w:rsidRDefault="00C62418" w:rsidP="005E3247">
            <w:pPr>
              <w:jc w:val="right"/>
              <w:rPr>
                <w:rFonts w:cs="Arial"/>
                <w:sz w:val="22"/>
                <w:szCs w:val="22"/>
                <w:lang w:eastAsia="en-GB"/>
              </w:rPr>
            </w:pPr>
            <w:r>
              <w:rPr>
                <w:rFonts w:cs="Arial"/>
                <w:sz w:val="22"/>
                <w:szCs w:val="22"/>
                <w:lang w:eastAsia="en-GB"/>
              </w:rPr>
              <w:t>-0.7%</w:t>
            </w:r>
          </w:p>
        </w:tc>
        <w:tc>
          <w:tcPr>
            <w:tcW w:w="1540" w:type="dxa"/>
            <w:tcBorders>
              <w:top w:val="nil"/>
              <w:left w:val="nil"/>
              <w:bottom w:val="nil"/>
              <w:right w:val="single" w:sz="4" w:space="0" w:color="auto"/>
            </w:tcBorders>
            <w:shd w:val="clear" w:color="auto" w:fill="auto"/>
            <w:noWrap/>
            <w:vAlign w:val="bottom"/>
          </w:tcPr>
          <w:p w:rsidR="00A937AD" w:rsidRPr="00494170" w:rsidRDefault="00672CEA" w:rsidP="002F7007">
            <w:pPr>
              <w:jc w:val="right"/>
              <w:rPr>
                <w:rFonts w:cs="Arial"/>
                <w:sz w:val="22"/>
                <w:szCs w:val="22"/>
                <w:lang w:eastAsia="en-GB"/>
              </w:rPr>
            </w:pPr>
            <w:r>
              <w:rPr>
                <w:rFonts w:cs="Arial"/>
                <w:sz w:val="22"/>
                <w:szCs w:val="22"/>
                <w:lang w:eastAsia="en-GB"/>
              </w:rPr>
              <w:t>-0.15%</w:t>
            </w:r>
          </w:p>
        </w:tc>
      </w:tr>
      <w:tr w:rsidR="00A937AD" w:rsidRPr="00B9594A" w:rsidTr="0098278E">
        <w:trPr>
          <w:trHeight w:val="570"/>
        </w:trPr>
        <w:tc>
          <w:tcPr>
            <w:tcW w:w="5540" w:type="dxa"/>
            <w:tcBorders>
              <w:top w:val="nil"/>
              <w:left w:val="single" w:sz="4" w:space="0" w:color="auto"/>
              <w:bottom w:val="single" w:sz="4" w:space="0" w:color="auto"/>
              <w:right w:val="nil"/>
            </w:tcBorders>
            <w:shd w:val="clear" w:color="auto" w:fill="auto"/>
            <w:vAlign w:val="bottom"/>
            <w:hideMark/>
          </w:tcPr>
          <w:p w:rsidR="00A937AD" w:rsidRPr="00A937AD" w:rsidRDefault="00A937AD" w:rsidP="002F7007">
            <w:pPr>
              <w:rPr>
                <w:rFonts w:cs="Arial"/>
                <w:sz w:val="22"/>
                <w:szCs w:val="22"/>
                <w:lang w:eastAsia="en-GB"/>
              </w:rPr>
            </w:pPr>
            <w:r w:rsidRPr="00A937AD">
              <w:rPr>
                <w:rFonts w:cs="Arial"/>
                <w:sz w:val="22"/>
                <w:szCs w:val="22"/>
                <w:lang w:eastAsia="en-GB"/>
              </w:rPr>
              <w:t>Financing Costs as a proportion of Net Revenue Stream - HRA</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A937AD" w:rsidRPr="00962AA7" w:rsidRDefault="00C62418" w:rsidP="005E3247">
            <w:pPr>
              <w:jc w:val="right"/>
              <w:rPr>
                <w:rFonts w:cs="Arial"/>
                <w:sz w:val="22"/>
                <w:szCs w:val="22"/>
                <w:lang w:eastAsia="en-GB"/>
              </w:rPr>
            </w:pPr>
            <w:r>
              <w:rPr>
                <w:rFonts w:cs="Arial"/>
                <w:sz w:val="22"/>
                <w:szCs w:val="22"/>
                <w:lang w:eastAsia="en-GB"/>
              </w:rPr>
              <w:t>18.5%</w:t>
            </w:r>
          </w:p>
        </w:tc>
        <w:tc>
          <w:tcPr>
            <w:tcW w:w="1540" w:type="dxa"/>
            <w:tcBorders>
              <w:top w:val="nil"/>
              <w:left w:val="nil"/>
              <w:bottom w:val="single" w:sz="4" w:space="0" w:color="auto"/>
              <w:right w:val="single" w:sz="4" w:space="0" w:color="auto"/>
            </w:tcBorders>
            <w:shd w:val="clear" w:color="auto" w:fill="auto"/>
            <w:noWrap/>
            <w:vAlign w:val="bottom"/>
          </w:tcPr>
          <w:p w:rsidR="00A937AD" w:rsidRPr="00494170" w:rsidRDefault="006F1FBB" w:rsidP="002F7007">
            <w:pPr>
              <w:jc w:val="right"/>
              <w:rPr>
                <w:rFonts w:cs="Arial"/>
                <w:sz w:val="22"/>
                <w:szCs w:val="22"/>
                <w:lang w:eastAsia="en-GB"/>
              </w:rPr>
            </w:pPr>
            <w:r>
              <w:rPr>
                <w:rFonts w:cs="Arial"/>
                <w:sz w:val="22"/>
                <w:szCs w:val="22"/>
                <w:lang w:eastAsia="en-GB"/>
              </w:rPr>
              <w:t>17.7%</w:t>
            </w:r>
          </w:p>
        </w:tc>
      </w:tr>
    </w:tbl>
    <w:p w:rsidR="002F7007" w:rsidRPr="00AA6F7F" w:rsidRDefault="002F7007" w:rsidP="00E16EAE">
      <w:pPr>
        <w:rPr>
          <w:b/>
        </w:rPr>
      </w:pPr>
    </w:p>
    <w:p w:rsidR="00E16EAE" w:rsidRPr="00B46BD1" w:rsidRDefault="00E16EAE" w:rsidP="00C45A88">
      <w:pPr>
        <w:jc w:val="both"/>
        <w:rPr>
          <w:b/>
        </w:rPr>
      </w:pPr>
      <w:r w:rsidRPr="00B46BD1">
        <w:rPr>
          <w:b/>
        </w:rPr>
        <w:t>Icelandic Banks</w:t>
      </w:r>
    </w:p>
    <w:p w:rsidR="009447C2" w:rsidRDefault="00FE7C1B" w:rsidP="00BC1A13">
      <w:pPr>
        <w:numPr>
          <w:ilvl w:val="0"/>
          <w:numId w:val="3"/>
        </w:numPr>
        <w:ind w:hanging="502"/>
      </w:pPr>
      <w:r w:rsidRPr="00645740">
        <w:t xml:space="preserve">During </w:t>
      </w:r>
      <w:r w:rsidR="0098459F">
        <w:t xml:space="preserve">2008/09 the Council invested £4.5 million with two of the now failed Icelandic banks: £3.0 million was deposited with Heritable Bank and £1.5 million with </w:t>
      </w:r>
      <w:proofErr w:type="spellStart"/>
      <w:r w:rsidR="0098459F">
        <w:t>Gli</w:t>
      </w:r>
      <w:r w:rsidR="0098278E">
        <w:t>tnir</w:t>
      </w:r>
      <w:proofErr w:type="spellEnd"/>
      <w:r w:rsidR="0098278E">
        <w:t xml:space="preserve"> Bank.  </w:t>
      </w:r>
    </w:p>
    <w:p w:rsidR="009447C2" w:rsidRDefault="009447C2" w:rsidP="009447C2">
      <w:pPr>
        <w:ind w:left="502"/>
      </w:pPr>
    </w:p>
    <w:p w:rsidR="0098459F" w:rsidRDefault="0098278E" w:rsidP="00BC1A13">
      <w:pPr>
        <w:numPr>
          <w:ilvl w:val="0"/>
          <w:numId w:val="3"/>
        </w:numPr>
        <w:ind w:hanging="502"/>
      </w:pPr>
      <w:r>
        <w:t>As at 3st March 2015</w:t>
      </w:r>
      <w:r w:rsidR="0098459F">
        <w:t>, the Council had received approximately £</w:t>
      </w:r>
      <w:r w:rsidR="00681D0D">
        <w:t>2.82</w:t>
      </w:r>
      <w:r w:rsidR="0098459F">
        <w:t xml:space="preserve"> million of its original Heritable Bank investment (</w:t>
      </w:r>
      <w:r w:rsidR="00681D0D">
        <w:t>94</w:t>
      </w:r>
      <w:r w:rsidR="0098459F">
        <w:t>%) plus interest.</w:t>
      </w:r>
      <w:r w:rsidR="009447C2">
        <w:t xml:space="preserve"> No recent repayments have been received and the prospect of a full recovery is uncertain. </w:t>
      </w:r>
    </w:p>
    <w:p w:rsidR="009447C2" w:rsidRDefault="009447C2" w:rsidP="009447C2">
      <w:pPr>
        <w:ind w:left="502"/>
      </w:pPr>
    </w:p>
    <w:p w:rsidR="0098278E" w:rsidRDefault="00CE07AA" w:rsidP="00BC1A13">
      <w:pPr>
        <w:numPr>
          <w:ilvl w:val="0"/>
          <w:numId w:val="3"/>
        </w:numPr>
        <w:ind w:hanging="502"/>
      </w:pPr>
      <w:r>
        <w:t>A further</w:t>
      </w:r>
      <w:r w:rsidR="009447C2">
        <w:t xml:space="preserve"> repayment of the </w:t>
      </w:r>
      <w:r w:rsidR="00A80D1D">
        <w:t xml:space="preserve">outstanding </w:t>
      </w:r>
      <w:r w:rsidR="009447C2">
        <w:t xml:space="preserve">Icelandic Krona (ISK) has been received in respect of the </w:t>
      </w:r>
      <w:proofErr w:type="spellStart"/>
      <w:r w:rsidR="009447C2">
        <w:t>Glitnir</w:t>
      </w:r>
      <w:proofErr w:type="spellEnd"/>
      <w:r w:rsidR="009447C2">
        <w:t xml:space="preserve"> Bank investment via an auction of currency. A balance of £</w:t>
      </w:r>
      <w:r>
        <w:t xml:space="preserve">0.200 million </w:t>
      </w:r>
      <w:r w:rsidR="009447C2">
        <w:t xml:space="preserve">remains with the potential to recover this in due course. </w:t>
      </w:r>
    </w:p>
    <w:p w:rsidR="00FE7C1B" w:rsidRDefault="00FE7C1B" w:rsidP="00FE7C1B">
      <w:pPr>
        <w:pStyle w:val="ListParagraph"/>
        <w:ind w:left="0"/>
      </w:pPr>
    </w:p>
    <w:p w:rsidR="00BD057D" w:rsidRDefault="00BD057D" w:rsidP="00FE7C1B">
      <w:pPr>
        <w:pStyle w:val="ListParagraph"/>
        <w:ind w:left="0"/>
      </w:pPr>
    </w:p>
    <w:p w:rsidR="00BD057D" w:rsidRPr="00B46BD1" w:rsidRDefault="00BD057D" w:rsidP="00FE7C1B">
      <w:pPr>
        <w:pStyle w:val="ListParagraph"/>
        <w:ind w:left="0"/>
      </w:pPr>
    </w:p>
    <w:p w:rsidR="00FE7C1B" w:rsidRPr="00B46BD1" w:rsidRDefault="00FE7C1B" w:rsidP="00FE7C1B">
      <w:pPr>
        <w:pStyle w:val="ListParagraph"/>
        <w:ind w:left="0"/>
        <w:rPr>
          <w:b/>
        </w:rPr>
      </w:pPr>
      <w:r w:rsidRPr="00B46BD1">
        <w:rPr>
          <w:b/>
        </w:rPr>
        <w:t>Investment Income</w:t>
      </w:r>
    </w:p>
    <w:p w:rsidR="00FE7C1B" w:rsidRDefault="00FE7C1B" w:rsidP="00BC1A13">
      <w:pPr>
        <w:numPr>
          <w:ilvl w:val="0"/>
          <w:numId w:val="3"/>
        </w:numPr>
        <w:ind w:hanging="502"/>
      </w:pPr>
      <w:r w:rsidRPr="00B46BD1">
        <w:lastRenderedPageBreak/>
        <w:t xml:space="preserve">The following graph shows the monthly average interest </w:t>
      </w:r>
      <w:r w:rsidR="008C7FC3">
        <w:t>earn</w:t>
      </w:r>
      <w:r w:rsidR="00093818">
        <w:t>ed</w:t>
      </w:r>
      <w:r w:rsidR="008C7FC3">
        <w:t xml:space="preserve"> by the Council</w:t>
      </w:r>
      <w:r w:rsidRPr="00B46BD1">
        <w:t xml:space="preserve"> in comparison to the base rate and also in comparison to its benchmarks: 3-months </w:t>
      </w:r>
      <w:proofErr w:type="spellStart"/>
      <w:r w:rsidRPr="00B46BD1">
        <w:t>Libid</w:t>
      </w:r>
      <w:proofErr w:type="spellEnd"/>
      <w:r w:rsidRPr="00B46BD1">
        <w:t xml:space="preserve"> and 7-day </w:t>
      </w:r>
      <w:proofErr w:type="spellStart"/>
      <w:r w:rsidRPr="00B46BD1">
        <w:t>Libid</w:t>
      </w:r>
      <w:proofErr w:type="spellEnd"/>
      <w:r w:rsidRPr="00B46BD1">
        <w:t>.</w:t>
      </w:r>
    </w:p>
    <w:p w:rsidR="001A086C" w:rsidRPr="00B46BD1" w:rsidRDefault="001A086C" w:rsidP="001A086C">
      <w:pPr>
        <w:ind w:left="502"/>
      </w:pPr>
    </w:p>
    <w:p w:rsidR="00FE7C1B" w:rsidRPr="00AA6F7F" w:rsidRDefault="00C86968" w:rsidP="00FE7C1B">
      <w:pPr>
        <w:ind w:left="360"/>
      </w:pPr>
      <w:r>
        <w:rPr>
          <w:noProof/>
          <w:lang w:eastAsia="en-GB"/>
        </w:rPr>
        <w:drawing>
          <wp:inline distT="0" distB="0" distL="0" distR="0" wp14:anchorId="5CFFEB73" wp14:editId="60F879DC">
            <wp:extent cx="5791200" cy="3505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655" cy="3506247"/>
                    </a:xfrm>
                    <a:prstGeom prst="rect">
                      <a:avLst/>
                    </a:prstGeom>
                    <a:noFill/>
                  </pic:spPr>
                </pic:pic>
              </a:graphicData>
            </a:graphic>
          </wp:inline>
        </w:drawing>
      </w:r>
    </w:p>
    <w:p w:rsidR="009E7AB1" w:rsidRPr="00AA6F7F" w:rsidRDefault="009E7AB1" w:rsidP="00FE7C1B">
      <w:pPr>
        <w:ind w:left="360"/>
        <w:rPr>
          <w:highlight w:val="yellow"/>
        </w:rPr>
      </w:pPr>
    </w:p>
    <w:p w:rsidR="009E7AB1" w:rsidRPr="00AA6F7F" w:rsidRDefault="009E7AB1" w:rsidP="00FE7C1B">
      <w:pPr>
        <w:ind w:left="360"/>
        <w:rPr>
          <w:highlight w:val="yellow"/>
        </w:rPr>
      </w:pPr>
    </w:p>
    <w:p w:rsidR="00FE7C1B" w:rsidRPr="00AA6F7F" w:rsidRDefault="00DB24F8" w:rsidP="00BC1A13">
      <w:pPr>
        <w:numPr>
          <w:ilvl w:val="0"/>
          <w:numId w:val="3"/>
        </w:numPr>
        <w:ind w:hanging="502"/>
      </w:pPr>
      <w:r w:rsidRPr="00AA6F7F">
        <w:t xml:space="preserve">As </w:t>
      </w:r>
      <w:r w:rsidR="00681D0D" w:rsidRPr="00AA6F7F">
        <w:t>illustrated above,</w:t>
      </w:r>
      <w:r w:rsidRPr="00AA6F7F">
        <w:t xml:space="preserve"> the Council’s average monthly rate of return was </w:t>
      </w:r>
      <w:r w:rsidR="001A086C">
        <w:t xml:space="preserve">below </w:t>
      </w:r>
      <w:r w:rsidRPr="00C318CF">
        <w:t>benchmark</w:t>
      </w:r>
      <w:r w:rsidR="001A086C">
        <w:t xml:space="preserve"> at the beginning of the financial year but exceeded the benchmark from August 2014 onwards</w:t>
      </w:r>
      <w:r w:rsidRPr="00C318CF">
        <w:t>.</w:t>
      </w:r>
      <w:r w:rsidR="001A086C">
        <w:t xml:space="preserve"> This upward turn is primarily due to </w:t>
      </w:r>
      <w:r w:rsidR="006A542D">
        <w:t>investment in</w:t>
      </w:r>
      <w:r w:rsidR="001A086C">
        <w:t xml:space="preserve"> a property fund</w:t>
      </w:r>
      <w:r w:rsidR="006A542D">
        <w:t>:</w:t>
      </w:r>
      <w:r w:rsidR="001A086C">
        <w:t xml:space="preserve"> </w:t>
      </w:r>
      <w:proofErr w:type="spellStart"/>
      <w:r w:rsidR="001A086C">
        <w:t>Lothbury</w:t>
      </w:r>
      <w:proofErr w:type="spellEnd"/>
      <w:r w:rsidR="001A086C">
        <w:t xml:space="preserve">; the Council invested </w:t>
      </w:r>
      <w:r w:rsidR="001A086C" w:rsidRPr="00AA6F7F">
        <w:t>£3.5m in August 2014 and a further £3.5m in September 2014.</w:t>
      </w:r>
    </w:p>
    <w:p w:rsidR="001A086C" w:rsidRPr="00AA6F7F" w:rsidRDefault="001A086C" w:rsidP="001A086C">
      <w:pPr>
        <w:ind w:left="360"/>
      </w:pPr>
    </w:p>
    <w:p w:rsidR="00DB24F8" w:rsidRPr="00B46BD1" w:rsidRDefault="00DB24F8" w:rsidP="00BC1A13">
      <w:pPr>
        <w:numPr>
          <w:ilvl w:val="0"/>
          <w:numId w:val="3"/>
        </w:numPr>
        <w:ind w:hanging="502"/>
      </w:pPr>
      <w:r w:rsidRPr="00B46BD1">
        <w:t xml:space="preserve">The Council manages its investments in-house and invests with the institutions listed in the Council’s approved counterparty list.  The Council invests for a range of periods from overnight to 364 days, dependant on cash flow needs, its interest rate view, the interest rates on offer and durational limits set out in the </w:t>
      </w:r>
      <w:r w:rsidR="00A56448">
        <w:t>Council’s I</w:t>
      </w:r>
      <w:r w:rsidRPr="00B46BD1">
        <w:t xml:space="preserve">nvestment </w:t>
      </w:r>
      <w:r w:rsidR="00A56448">
        <w:t>S</w:t>
      </w:r>
      <w:r w:rsidRPr="00B46BD1">
        <w:t>trategy.</w:t>
      </w:r>
    </w:p>
    <w:p w:rsidR="00DB24F8" w:rsidRPr="00AA6F7F" w:rsidRDefault="00DB24F8" w:rsidP="004E160A"/>
    <w:p w:rsidR="004950ED" w:rsidRDefault="00DB24F8" w:rsidP="00BC1A13">
      <w:pPr>
        <w:numPr>
          <w:ilvl w:val="0"/>
          <w:numId w:val="3"/>
        </w:numPr>
        <w:ind w:hanging="502"/>
      </w:pPr>
      <w:r w:rsidRPr="004E160A">
        <w:t xml:space="preserve">During </w:t>
      </w:r>
      <w:r w:rsidR="0098278E">
        <w:t>2014/15</w:t>
      </w:r>
      <w:r w:rsidR="00A80D1D">
        <w:t>,</w:t>
      </w:r>
      <w:r w:rsidRPr="004E160A">
        <w:t xml:space="preserve"> the Council maintained an average investment balance </w:t>
      </w:r>
      <w:r w:rsidR="003357DE" w:rsidRPr="004E160A">
        <w:t>of £</w:t>
      </w:r>
      <w:r w:rsidR="001A086C">
        <w:t>68</w:t>
      </w:r>
      <w:r w:rsidRPr="004E160A">
        <w:t xml:space="preserve"> million and received an average return of </w:t>
      </w:r>
      <w:r w:rsidR="001A086C">
        <w:t>1</w:t>
      </w:r>
      <w:r w:rsidRPr="004E160A">
        <w:t>.</w:t>
      </w:r>
      <w:r w:rsidR="001A086C">
        <w:t>18</w:t>
      </w:r>
      <w:r w:rsidRPr="004E160A">
        <w:t xml:space="preserve">%.  This is </w:t>
      </w:r>
      <w:r w:rsidR="001A086C">
        <w:t>above</w:t>
      </w:r>
      <w:r w:rsidRPr="004E160A">
        <w:t xml:space="preserve"> </w:t>
      </w:r>
      <w:r w:rsidR="00587EEC">
        <w:t>t</w:t>
      </w:r>
      <w:r w:rsidRPr="004E160A">
        <w:t xml:space="preserve">he target of 1% and is mainly due to </w:t>
      </w:r>
      <w:r w:rsidR="00587EEC">
        <w:t>investment in property funds</w:t>
      </w:r>
      <w:r w:rsidR="00522FA8">
        <w:t xml:space="preserve"> in the latter part of the year</w:t>
      </w:r>
      <w:r w:rsidR="004E160A" w:rsidRPr="004E160A">
        <w:t>.</w:t>
      </w:r>
      <w:r w:rsidR="00587EEC">
        <w:t xml:space="preserve"> </w:t>
      </w:r>
      <w:r w:rsidR="00522FA8">
        <w:t>I</w:t>
      </w:r>
      <w:r w:rsidR="00587EEC">
        <w:t xml:space="preserve">t is important to note that market rates have continued to drop throughout the financial year and that for many of the approved counterparties, the Council has not been able to achieve the same rate of return as in previous periods. </w:t>
      </w:r>
    </w:p>
    <w:p w:rsidR="0098459F" w:rsidRDefault="0098459F" w:rsidP="0098459F">
      <w:pPr>
        <w:pStyle w:val="ListParagraph"/>
      </w:pPr>
    </w:p>
    <w:p w:rsidR="00DB24F8" w:rsidRDefault="00522FA8" w:rsidP="00BC1A13">
      <w:pPr>
        <w:numPr>
          <w:ilvl w:val="0"/>
          <w:numId w:val="3"/>
        </w:numPr>
        <w:ind w:hanging="502"/>
      </w:pPr>
      <w:r>
        <w:t>T</w:t>
      </w:r>
      <w:r w:rsidR="0098459F" w:rsidRPr="00573E4B">
        <w:t xml:space="preserve">he </w:t>
      </w:r>
      <w:r w:rsidR="0098459F">
        <w:t>P</w:t>
      </w:r>
      <w:r w:rsidR="0098459F" w:rsidRPr="00573E4B">
        <w:t xml:space="preserve">roperty </w:t>
      </w:r>
      <w:r w:rsidR="0098459F">
        <w:t>F</w:t>
      </w:r>
      <w:r w:rsidR="0098459F" w:rsidRPr="00573E4B">
        <w:t>und</w:t>
      </w:r>
      <w:r w:rsidR="00261935">
        <w:t>s</w:t>
      </w:r>
      <w:r w:rsidR="0098459F" w:rsidRPr="00573E4B">
        <w:t xml:space="preserve"> </w:t>
      </w:r>
      <w:r w:rsidR="00EF0B5B">
        <w:t>are</w:t>
      </w:r>
      <w:r w:rsidR="0098459F">
        <w:t xml:space="preserve"> </w:t>
      </w:r>
      <w:r w:rsidR="00261935">
        <w:t xml:space="preserve">classified as Non-specified Investments </w:t>
      </w:r>
      <w:r w:rsidR="0098459F">
        <w:t xml:space="preserve">within the approved Strategy. </w:t>
      </w:r>
      <w:r w:rsidR="00EF0B5B">
        <w:t xml:space="preserve"> </w:t>
      </w:r>
      <w:r w:rsidR="0098459F">
        <w:t>The current rate of return on th</w:t>
      </w:r>
      <w:r w:rsidR="00EF0B5B">
        <w:t>e</w:t>
      </w:r>
      <w:r w:rsidR="0098459F">
        <w:t xml:space="preserve"> investment</w:t>
      </w:r>
      <w:r w:rsidR="00EF0B5B">
        <w:t>s</w:t>
      </w:r>
      <w:r w:rsidR="0098459F">
        <w:t xml:space="preserve"> is </w:t>
      </w:r>
      <w:r w:rsidR="00EF0B5B">
        <w:t xml:space="preserve">circa </w:t>
      </w:r>
      <w:r w:rsidR="00740388">
        <w:t>6</w:t>
      </w:r>
      <w:r w:rsidR="0098459F">
        <w:t>%</w:t>
      </w:r>
      <w:r w:rsidR="00385F58">
        <w:t xml:space="preserve"> per annum</w:t>
      </w:r>
      <w:r w:rsidR="0098459F">
        <w:t xml:space="preserve">. </w:t>
      </w:r>
      <w:r w:rsidR="00EF0B5B">
        <w:t xml:space="preserve"> </w:t>
      </w:r>
      <w:r w:rsidR="0098459F">
        <w:t xml:space="preserve">The </w:t>
      </w:r>
      <w:r w:rsidR="00EF0B5B">
        <w:t>value of the</w:t>
      </w:r>
      <w:r w:rsidR="00E90604">
        <w:t xml:space="preserve"> Communities, Churches and Local Authorities Fund </w:t>
      </w:r>
      <w:r w:rsidR="00EF0B5B">
        <w:t>ha</w:t>
      </w:r>
      <w:r w:rsidR="00E90604">
        <w:t>s</w:t>
      </w:r>
      <w:r w:rsidR="00EF0B5B">
        <w:t xml:space="preserve"> increased by 21.06%</w:t>
      </w:r>
      <w:r w:rsidR="00E90604">
        <w:t xml:space="preserve"> </w:t>
      </w:r>
      <w:r w:rsidR="009538FB">
        <w:t xml:space="preserve">since April </w:t>
      </w:r>
      <w:r w:rsidR="006959F9">
        <w:t>20</w:t>
      </w:r>
      <w:r w:rsidR="009538FB">
        <w:t xml:space="preserve">13 </w:t>
      </w:r>
      <w:r w:rsidR="00E90604">
        <w:t>and the</w:t>
      </w:r>
      <w:r w:rsidR="00A80D1D">
        <w:t xml:space="preserve"> </w:t>
      </w:r>
      <w:proofErr w:type="spellStart"/>
      <w:r w:rsidR="00EF0B5B">
        <w:lastRenderedPageBreak/>
        <w:t>Lothbury</w:t>
      </w:r>
      <w:proofErr w:type="spellEnd"/>
      <w:r w:rsidR="00EF0B5B">
        <w:t xml:space="preserve"> fund has increased by 8.65%</w:t>
      </w:r>
      <w:r w:rsidR="009538FB">
        <w:t xml:space="preserve"> since August </w:t>
      </w:r>
      <w:r w:rsidR="006959F9">
        <w:t>20</w:t>
      </w:r>
      <w:r w:rsidR="009538FB">
        <w:t>14</w:t>
      </w:r>
      <w:r w:rsidR="00EF0B5B">
        <w:t>.  I</w:t>
      </w:r>
      <w:r w:rsidR="0098459F">
        <w:t>t should be noted that this price</w:t>
      </w:r>
      <w:r w:rsidR="00E577C9">
        <w:t xml:space="preserve"> can also fluctuate downwards.</w:t>
      </w:r>
    </w:p>
    <w:p w:rsidR="006959F9" w:rsidRDefault="006959F9" w:rsidP="006959F9">
      <w:pPr>
        <w:pStyle w:val="ListParagraph"/>
      </w:pPr>
    </w:p>
    <w:p w:rsidR="006959F9" w:rsidRPr="00AA6F7F" w:rsidRDefault="006959F9" w:rsidP="00BC1A13">
      <w:pPr>
        <w:numPr>
          <w:ilvl w:val="0"/>
          <w:numId w:val="3"/>
        </w:numPr>
        <w:ind w:hanging="502"/>
      </w:pPr>
      <w:r w:rsidRPr="006959F9">
        <w:t>Actual investment income for 2014/15 was £</w:t>
      </w:r>
      <w:r>
        <w:t>0.</w:t>
      </w:r>
      <w:r w:rsidRPr="006959F9">
        <w:t>675</w:t>
      </w:r>
      <w:r>
        <w:t xml:space="preserve"> million</w:t>
      </w:r>
      <w:r w:rsidRPr="006959F9">
        <w:t>; this was marginally higher than the original budget of £</w:t>
      </w:r>
      <w:r>
        <w:t>0.</w:t>
      </w:r>
      <w:r w:rsidRPr="006959F9">
        <w:t>658</w:t>
      </w:r>
      <w:r>
        <w:t xml:space="preserve"> million</w:t>
      </w:r>
      <w:r w:rsidRPr="006959F9">
        <w:t>.  Market rates continue to be very low and as security of investment is the Council’s primary concern, it has not always been possible to invest cash at more favourable rates.</w:t>
      </w:r>
    </w:p>
    <w:p w:rsidR="00681D0D" w:rsidRPr="00AA6F7F" w:rsidRDefault="00681D0D" w:rsidP="00681D0D">
      <w:pPr>
        <w:ind w:left="502"/>
      </w:pPr>
    </w:p>
    <w:p w:rsidR="003F7DBD" w:rsidRPr="0082155C" w:rsidRDefault="003F7DBD" w:rsidP="00BC1A13">
      <w:pPr>
        <w:numPr>
          <w:ilvl w:val="0"/>
          <w:numId w:val="3"/>
        </w:numPr>
        <w:ind w:hanging="502"/>
      </w:pPr>
      <w:r w:rsidRPr="0082155C">
        <w:t>Fluctuations in the Council’s balances have been managed through a mix of instant access and notice accounts, money market funds and short term deposits (</w:t>
      </w:r>
      <w:r w:rsidR="00F4383F">
        <w:t>up to 364 days</w:t>
      </w:r>
      <w:r w:rsidRPr="0082155C">
        <w:t xml:space="preserve">).  This </w:t>
      </w:r>
      <w:r w:rsidR="00967D56">
        <w:t xml:space="preserve">approach </w:t>
      </w:r>
      <w:r w:rsidRPr="0082155C">
        <w:t xml:space="preserve">is in line with the </w:t>
      </w:r>
      <w:r w:rsidR="00CB5145">
        <w:t>I</w:t>
      </w:r>
      <w:r w:rsidRPr="0082155C">
        <w:t xml:space="preserve">nvestment </w:t>
      </w:r>
      <w:r w:rsidR="00CB5145">
        <w:t>S</w:t>
      </w:r>
      <w:r w:rsidRPr="0082155C">
        <w:t>trategy approved by Council.</w:t>
      </w:r>
    </w:p>
    <w:p w:rsidR="003F7DBD" w:rsidRPr="00AA6F7F" w:rsidRDefault="003F7DBD" w:rsidP="004E160A">
      <w:pPr>
        <w:pStyle w:val="ListParagraph"/>
        <w:ind w:left="0"/>
      </w:pPr>
    </w:p>
    <w:p w:rsidR="003F7DBD" w:rsidRPr="00AA6F7F" w:rsidRDefault="003F7DBD" w:rsidP="004E160A">
      <w:pPr>
        <w:pStyle w:val="ListParagraph"/>
        <w:ind w:left="0"/>
        <w:rPr>
          <w:b/>
        </w:rPr>
      </w:pPr>
      <w:r w:rsidRPr="00AA6F7F">
        <w:rPr>
          <w:b/>
        </w:rPr>
        <w:t>Counterparty Changes</w:t>
      </w:r>
    </w:p>
    <w:p w:rsidR="004C2C93" w:rsidRPr="00F125E2" w:rsidRDefault="00483B91" w:rsidP="00BC1A13">
      <w:pPr>
        <w:numPr>
          <w:ilvl w:val="0"/>
          <w:numId w:val="3"/>
        </w:numPr>
        <w:ind w:hanging="502"/>
      </w:pPr>
      <w:r>
        <w:t>Following a</w:t>
      </w:r>
      <w:r w:rsidR="00F125E2">
        <w:t xml:space="preserve"> tender process, Barclays Bank UK </w:t>
      </w:r>
      <w:proofErr w:type="spellStart"/>
      <w:r w:rsidR="00F125E2">
        <w:t>plc</w:t>
      </w:r>
      <w:proofErr w:type="spellEnd"/>
      <w:r w:rsidR="00F125E2">
        <w:t xml:space="preserve"> </w:t>
      </w:r>
      <w:r w:rsidR="00F4383F">
        <w:t xml:space="preserve">now </w:t>
      </w:r>
      <w:r w:rsidR="00F125E2">
        <w:t>provides the Council’s banking services</w:t>
      </w:r>
      <w:r>
        <w:t>.</w:t>
      </w:r>
    </w:p>
    <w:p w:rsidR="00BF4188" w:rsidRPr="00F125E2" w:rsidRDefault="00BF4188" w:rsidP="004E160A">
      <w:pPr>
        <w:ind w:left="360"/>
      </w:pPr>
    </w:p>
    <w:p w:rsidR="004C2C93" w:rsidRPr="00F3793D" w:rsidRDefault="004C2C93" w:rsidP="004E160A">
      <w:pPr>
        <w:rPr>
          <w:b/>
        </w:rPr>
      </w:pPr>
      <w:r w:rsidRPr="00645740">
        <w:rPr>
          <w:b/>
        </w:rPr>
        <w:t>Strategy Update</w:t>
      </w:r>
    </w:p>
    <w:p w:rsidR="006A153A" w:rsidRPr="00F3793D" w:rsidRDefault="00F125E2" w:rsidP="00BC1A13">
      <w:pPr>
        <w:numPr>
          <w:ilvl w:val="0"/>
          <w:numId w:val="3"/>
        </w:numPr>
        <w:ind w:hanging="502"/>
      </w:pPr>
      <w:r w:rsidRPr="00F3793D">
        <w:t xml:space="preserve">The Treasury Management Strategy for 2014/15 was approved </w:t>
      </w:r>
      <w:r w:rsidR="00E025EA">
        <w:t>by</w:t>
      </w:r>
      <w:r w:rsidRPr="00F3793D">
        <w:t xml:space="preserve"> Council on 18</w:t>
      </w:r>
      <w:r w:rsidRPr="00F3793D">
        <w:rPr>
          <w:vertAlign w:val="superscript"/>
        </w:rPr>
        <w:t>th</w:t>
      </w:r>
      <w:r w:rsidRPr="00F3793D">
        <w:t xml:space="preserve"> February 2015.</w:t>
      </w:r>
      <w:r w:rsidR="00F3793D">
        <w:t xml:space="preserve"> The Council complied with the </w:t>
      </w:r>
      <w:r w:rsidR="00E025EA">
        <w:t>S</w:t>
      </w:r>
      <w:r w:rsidR="00F3793D">
        <w:t xml:space="preserve">trategy throughout the financial year. </w:t>
      </w:r>
    </w:p>
    <w:p w:rsidR="00F125E2" w:rsidRPr="00F3793D" w:rsidRDefault="00F125E2" w:rsidP="00F125E2">
      <w:pPr>
        <w:ind w:left="360"/>
      </w:pPr>
    </w:p>
    <w:p w:rsidR="00F125E2" w:rsidRPr="00F3793D" w:rsidRDefault="00F125E2" w:rsidP="00BC1A13">
      <w:pPr>
        <w:numPr>
          <w:ilvl w:val="0"/>
          <w:numId w:val="3"/>
        </w:numPr>
        <w:ind w:hanging="502"/>
      </w:pPr>
      <w:r w:rsidRPr="00F3793D">
        <w:t>In July 2014, Council agreed a motion to implement an ethical investment policy within its Treasury Management Strateg</w:t>
      </w:r>
      <w:r w:rsidR="00E2753A" w:rsidRPr="00F3793D">
        <w:t xml:space="preserve">y and the following statement </w:t>
      </w:r>
      <w:r w:rsidR="00E025EA">
        <w:t>was</w:t>
      </w:r>
      <w:r w:rsidR="00E2753A" w:rsidRPr="00F3793D">
        <w:t xml:space="preserve"> </w:t>
      </w:r>
      <w:r w:rsidR="00E025EA">
        <w:t xml:space="preserve">duly </w:t>
      </w:r>
      <w:r w:rsidR="00E2753A" w:rsidRPr="00F3793D">
        <w:t xml:space="preserve">incorporated into the </w:t>
      </w:r>
      <w:r w:rsidR="00F3793D" w:rsidRPr="00F3793D">
        <w:t>Strategy:</w:t>
      </w:r>
    </w:p>
    <w:p w:rsidR="00F3793D" w:rsidRPr="00F3793D" w:rsidRDefault="00F3793D" w:rsidP="00F3793D">
      <w:pPr>
        <w:pStyle w:val="ListParagraph"/>
      </w:pPr>
    </w:p>
    <w:p w:rsidR="00F3793D" w:rsidRPr="00F3793D" w:rsidRDefault="00F3793D" w:rsidP="00151A6A">
      <w:pPr>
        <w:ind w:left="502"/>
        <w:rPr>
          <w:i/>
        </w:rPr>
      </w:pPr>
      <w:r w:rsidRPr="00F3793D">
        <w:rPr>
          <w:i/>
        </w:rPr>
        <w:t>The Council will not knowingly invest directly in business</w:t>
      </w:r>
      <w:r>
        <w:rPr>
          <w:i/>
        </w:rPr>
        <w:t>es</w:t>
      </w:r>
      <w:r w:rsidRPr="00F3793D">
        <w:rPr>
          <w:i/>
        </w:rPr>
        <w:t xml:space="preserve"> whose activities and practices pose a risk of serious harm to individuals or groups, or whose a</w:t>
      </w:r>
      <w:r>
        <w:rPr>
          <w:i/>
        </w:rPr>
        <w:t>c</w:t>
      </w:r>
      <w:r w:rsidRPr="00F3793D">
        <w:rPr>
          <w:i/>
        </w:rPr>
        <w:t>tivities are inconsistent with the Council’s mission and values. This woul</w:t>
      </w:r>
      <w:r>
        <w:rPr>
          <w:i/>
        </w:rPr>
        <w:t>d</w:t>
      </w:r>
      <w:r w:rsidRPr="00F3793D">
        <w:rPr>
          <w:i/>
        </w:rPr>
        <w:t xml:space="preserve"> include, inter alia, avoiding direct investment in institutions with material links to:</w:t>
      </w:r>
    </w:p>
    <w:p w:rsidR="00F3793D" w:rsidRPr="00F3793D" w:rsidRDefault="00F3793D" w:rsidP="00151A6A">
      <w:pPr>
        <w:numPr>
          <w:ilvl w:val="0"/>
          <w:numId w:val="41"/>
        </w:numPr>
        <w:ind w:left="1222"/>
        <w:rPr>
          <w:i/>
        </w:rPr>
      </w:pPr>
      <w:r w:rsidRPr="00F3793D">
        <w:rPr>
          <w:i/>
        </w:rPr>
        <w:t>Human rights abuse (e.g. child labour, political oppression)</w:t>
      </w:r>
    </w:p>
    <w:p w:rsidR="00F3793D" w:rsidRPr="00F3793D" w:rsidRDefault="00F3793D" w:rsidP="00151A6A">
      <w:pPr>
        <w:numPr>
          <w:ilvl w:val="0"/>
          <w:numId w:val="41"/>
        </w:numPr>
        <w:ind w:left="1222"/>
        <w:rPr>
          <w:i/>
        </w:rPr>
      </w:pPr>
      <w:r w:rsidRPr="00F3793D">
        <w:rPr>
          <w:i/>
        </w:rPr>
        <w:t>Environmentally harmful activities (e.g. pollution, destruction of habitat, fossil fuels)</w:t>
      </w:r>
    </w:p>
    <w:p w:rsidR="00F3793D" w:rsidRPr="00F3793D" w:rsidRDefault="00F3793D" w:rsidP="00151A6A">
      <w:pPr>
        <w:numPr>
          <w:ilvl w:val="0"/>
          <w:numId w:val="41"/>
        </w:numPr>
        <w:ind w:left="1222"/>
        <w:rPr>
          <w:i/>
        </w:rPr>
      </w:pPr>
      <w:r w:rsidRPr="00F3793D">
        <w:rPr>
          <w:i/>
        </w:rPr>
        <w:t>Socially harmful activities (e.g. tobacco, gambling)</w:t>
      </w:r>
    </w:p>
    <w:p w:rsidR="00382EC8" w:rsidRPr="00AA6F7F" w:rsidRDefault="00382EC8" w:rsidP="008A78A4">
      <w:pPr>
        <w:pStyle w:val="ListParagraph"/>
      </w:pPr>
    </w:p>
    <w:p w:rsidR="00AA6F7F" w:rsidRDefault="00A80D1D" w:rsidP="00BC1A13">
      <w:pPr>
        <w:numPr>
          <w:ilvl w:val="0"/>
          <w:numId w:val="3"/>
        </w:numPr>
        <w:ind w:hanging="502"/>
      </w:pPr>
      <w:r>
        <w:t>A</w:t>
      </w:r>
      <w:r w:rsidR="003C3C9B">
        <w:t>t its meeting on the 30</w:t>
      </w:r>
      <w:r w:rsidR="003C3C9B" w:rsidRPr="006959F9">
        <w:rPr>
          <w:vertAlign w:val="superscript"/>
        </w:rPr>
        <w:t>th</w:t>
      </w:r>
      <w:r w:rsidR="003C3C9B">
        <w:t xml:space="preserve"> July</w:t>
      </w:r>
      <w:r w:rsidR="008C5DA7">
        <w:t xml:space="preserve"> 2015</w:t>
      </w:r>
      <w:r>
        <w:t>, the Council’s City Executive Board approved</w:t>
      </w:r>
      <w:r w:rsidR="003C3C9B">
        <w:t xml:space="preserve"> </w:t>
      </w:r>
      <w:r w:rsidR="00AA6F7F">
        <w:t xml:space="preserve">an investment into a property fund specifically </w:t>
      </w:r>
      <w:r w:rsidR="003C3C9B">
        <w:t>designed</w:t>
      </w:r>
      <w:r w:rsidR="00AA6F7F">
        <w:t xml:space="preserve"> to deal with homelessness.  </w:t>
      </w:r>
      <w:r w:rsidR="003C3C9B">
        <w:t xml:space="preserve">The decision requires </w:t>
      </w:r>
      <w:r w:rsidR="00AA6F7F">
        <w:t xml:space="preserve">changes to the Council’s MRP policy </w:t>
      </w:r>
      <w:r w:rsidR="00581320">
        <w:t xml:space="preserve">(detailed below) </w:t>
      </w:r>
      <w:r w:rsidR="00AA6F7F">
        <w:t>and the Non-Specified Investments list.  Revised versions are shown at Appendix 1 and 2 respectively</w:t>
      </w:r>
      <w:r w:rsidR="006959F9">
        <w:t xml:space="preserve"> with the amendments shown in </w:t>
      </w:r>
      <w:r w:rsidR="002B641E">
        <w:t xml:space="preserve">bold </w:t>
      </w:r>
      <w:r w:rsidR="006959F9">
        <w:t>italics</w:t>
      </w:r>
      <w:r w:rsidR="00AA6F7F">
        <w:t>.</w:t>
      </w:r>
    </w:p>
    <w:p w:rsidR="00581320" w:rsidRDefault="00581320" w:rsidP="00151A6A">
      <w:pPr>
        <w:ind w:left="502"/>
      </w:pPr>
    </w:p>
    <w:p w:rsidR="00581320" w:rsidRDefault="00581320" w:rsidP="00BC1A13">
      <w:pPr>
        <w:numPr>
          <w:ilvl w:val="0"/>
          <w:numId w:val="3"/>
        </w:numPr>
        <w:ind w:hanging="502"/>
      </w:pPr>
      <w:r>
        <w:t>The investment in the property fund</w:t>
      </w:r>
      <w:r w:rsidRPr="00581320">
        <w:t xml:space="preserve"> is capital expenditure</w:t>
      </w:r>
      <w:r>
        <w:t xml:space="preserve"> and therefore t</w:t>
      </w:r>
      <w:r w:rsidRPr="00581320">
        <w:t>he Capital Financing Requirement (CFR) will increase by the amount of investment within the Fund</w:t>
      </w:r>
      <w:r>
        <w:t>.  The investment is</w:t>
      </w:r>
      <w:r w:rsidRPr="00581320">
        <w:t xml:space="preserve"> due to be returned in full at the end of the 7 year investment period (which could be extended by 2 further years) subject to any capital loss or appreciation, with interest paid via quarterly distributions. </w:t>
      </w:r>
      <w:r>
        <w:t xml:space="preserve"> Once the investment</w:t>
      </w:r>
      <w:r w:rsidRPr="00581320">
        <w:t xml:space="preserve"> is returned to the </w:t>
      </w:r>
      <w:r w:rsidRPr="00581320">
        <w:lastRenderedPageBreak/>
        <w:t xml:space="preserve">Authority, the returned funds </w:t>
      </w:r>
      <w:r>
        <w:t>will be</w:t>
      </w:r>
      <w:r w:rsidRPr="00581320">
        <w:t xml:space="preserve"> classified as a capital receipt. </w:t>
      </w:r>
      <w:r>
        <w:t xml:space="preserve"> </w:t>
      </w:r>
      <w:r w:rsidRPr="00581320">
        <w:t xml:space="preserve">These receipts </w:t>
      </w:r>
      <w:r>
        <w:t>will</w:t>
      </w:r>
      <w:r w:rsidRPr="00581320">
        <w:t xml:space="preserve"> be earmarked and set aside in the Capital Adjustment Account. </w:t>
      </w:r>
      <w:r>
        <w:t xml:space="preserve"> </w:t>
      </w:r>
      <w:r w:rsidRPr="00581320">
        <w:t>This will off-set the cash receipt against the CFR, which will reduce accordingly</w:t>
      </w:r>
      <w:r>
        <w:t>, removing the increase on the CFR arising from the original investment</w:t>
      </w:r>
      <w:r w:rsidRPr="00581320">
        <w:t xml:space="preserve">. As this is a temporary (7-9 </w:t>
      </w:r>
      <w:proofErr w:type="gramStart"/>
      <w:r w:rsidRPr="00581320">
        <w:t>year</w:t>
      </w:r>
      <w:proofErr w:type="gramEnd"/>
      <w:r w:rsidRPr="00581320">
        <w:t>) arrangement and the funds are expected be returned in full, there is no need to set aside prudent provision to repay the debt liability in the interim period</w:t>
      </w:r>
      <w:r>
        <w:t>.  This needs to be made clear in the Council’s MRP policy</w:t>
      </w:r>
      <w:r w:rsidRPr="00581320">
        <w:t>.</w:t>
      </w:r>
    </w:p>
    <w:p w:rsidR="00151A6A" w:rsidRDefault="00151A6A" w:rsidP="00E12AFF">
      <w:pPr>
        <w:pStyle w:val="ListParagraph"/>
      </w:pPr>
    </w:p>
    <w:p w:rsidR="006439BD" w:rsidRPr="0017631D" w:rsidRDefault="006439BD" w:rsidP="004E160A">
      <w:pPr>
        <w:rPr>
          <w:b/>
        </w:rPr>
      </w:pPr>
      <w:r w:rsidRPr="0017631D">
        <w:rPr>
          <w:b/>
        </w:rPr>
        <w:t>Financial Implications</w:t>
      </w:r>
    </w:p>
    <w:p w:rsidR="00151A6A" w:rsidRDefault="00151A6A" w:rsidP="00BC1A13">
      <w:pPr>
        <w:numPr>
          <w:ilvl w:val="0"/>
          <w:numId w:val="3"/>
        </w:numPr>
        <w:tabs>
          <w:tab w:val="clear" w:pos="502"/>
          <w:tab w:val="num" w:pos="142"/>
        </w:tabs>
        <w:ind w:left="567" w:hanging="567"/>
      </w:pPr>
      <w:r w:rsidRPr="00151A6A">
        <w:t>These are set out within the body of the report</w:t>
      </w:r>
      <w:r>
        <w:t>.</w:t>
      </w:r>
    </w:p>
    <w:p w:rsidR="006439BD" w:rsidRPr="0017631D" w:rsidRDefault="006439BD" w:rsidP="004E160A"/>
    <w:p w:rsidR="006439BD" w:rsidRPr="0017631D" w:rsidRDefault="006439BD" w:rsidP="004E160A">
      <w:pPr>
        <w:rPr>
          <w:b/>
        </w:rPr>
      </w:pPr>
      <w:r w:rsidRPr="0017631D">
        <w:rPr>
          <w:b/>
        </w:rPr>
        <w:t xml:space="preserve">Legal Implications </w:t>
      </w:r>
    </w:p>
    <w:p w:rsidR="00151A6A" w:rsidRDefault="00151A6A" w:rsidP="00BC1A13">
      <w:pPr>
        <w:numPr>
          <w:ilvl w:val="0"/>
          <w:numId w:val="3"/>
        </w:numPr>
        <w:tabs>
          <w:tab w:val="clear" w:pos="502"/>
        </w:tabs>
        <w:ind w:left="567" w:hanging="567"/>
      </w:pPr>
      <w:r w:rsidRPr="00151A6A">
        <w:t>The Council is required to report on its Treasury Management Function on an annual basis.  This report meets that requirement.</w:t>
      </w:r>
    </w:p>
    <w:p w:rsidR="006439BD" w:rsidRPr="0017631D" w:rsidRDefault="006439BD" w:rsidP="004E160A">
      <w:pPr>
        <w:ind w:left="360" w:hanging="360"/>
      </w:pPr>
    </w:p>
    <w:p w:rsidR="006439BD" w:rsidRPr="0017631D" w:rsidRDefault="006439BD" w:rsidP="004E160A">
      <w:pPr>
        <w:ind w:left="360" w:hanging="360"/>
        <w:rPr>
          <w:b/>
        </w:rPr>
      </w:pPr>
    </w:p>
    <w:p w:rsidR="006439BD" w:rsidRPr="0017631D" w:rsidRDefault="006439BD" w:rsidP="004E160A">
      <w:pPr>
        <w:rPr>
          <w:b/>
        </w:rPr>
      </w:pPr>
      <w:r w:rsidRPr="0017631D">
        <w:rPr>
          <w:b/>
        </w:rPr>
        <w:t>Risk Implications</w:t>
      </w:r>
    </w:p>
    <w:p w:rsidR="00151A6A" w:rsidRDefault="00151A6A" w:rsidP="00BC1A13">
      <w:pPr>
        <w:numPr>
          <w:ilvl w:val="0"/>
          <w:numId w:val="3"/>
        </w:numPr>
        <w:tabs>
          <w:tab w:val="clear" w:pos="502"/>
        </w:tabs>
        <w:ind w:left="567" w:hanging="567"/>
      </w:pPr>
      <w:r w:rsidRPr="00151A6A">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6439BD" w:rsidRDefault="006439BD" w:rsidP="004E160A">
      <w:pPr>
        <w:ind w:left="360" w:hanging="360"/>
      </w:pPr>
    </w:p>
    <w:p w:rsidR="00683B44" w:rsidRPr="00AA6F7F" w:rsidRDefault="00683B44" w:rsidP="00683B44">
      <w:pPr>
        <w:jc w:val="both"/>
        <w:rPr>
          <w:b/>
        </w:rPr>
      </w:pPr>
      <w:r w:rsidRPr="00AA6F7F">
        <w:rPr>
          <w:b/>
        </w:rPr>
        <w:t>Environmental Impact</w:t>
      </w:r>
    </w:p>
    <w:p w:rsidR="00151A6A" w:rsidRDefault="00151A6A" w:rsidP="00BC1A13">
      <w:pPr>
        <w:numPr>
          <w:ilvl w:val="0"/>
          <w:numId w:val="3"/>
        </w:numPr>
        <w:tabs>
          <w:tab w:val="clear" w:pos="502"/>
        </w:tabs>
        <w:ind w:left="567" w:hanging="426"/>
      </w:pPr>
      <w:r w:rsidRPr="00151A6A">
        <w:t>Following the inclusion of the Ethical Investment Policy, this ensures that through our investments we will not knowingly, directly invest in businesses that undertake harmful environmental activities.</w:t>
      </w:r>
    </w:p>
    <w:p w:rsidR="00683B44" w:rsidRDefault="00683B44" w:rsidP="004E160A">
      <w:pPr>
        <w:ind w:left="360" w:hanging="360"/>
      </w:pPr>
    </w:p>
    <w:p w:rsidR="00683B44" w:rsidRPr="00AA6F7F" w:rsidRDefault="00683B44" w:rsidP="004E160A">
      <w:pPr>
        <w:ind w:left="360" w:hanging="360"/>
        <w:rPr>
          <w:b/>
        </w:rPr>
      </w:pPr>
      <w:r w:rsidRPr="00AA6F7F">
        <w:rPr>
          <w:b/>
        </w:rPr>
        <w:t>Equalities Impact</w:t>
      </w:r>
    </w:p>
    <w:p w:rsidR="00151A6A" w:rsidRPr="00F3793D" w:rsidRDefault="00151A6A" w:rsidP="00BC1A13">
      <w:pPr>
        <w:numPr>
          <w:ilvl w:val="0"/>
          <w:numId w:val="3"/>
        </w:numPr>
        <w:tabs>
          <w:tab w:val="clear" w:pos="502"/>
          <w:tab w:val="num" w:pos="-3828"/>
        </w:tabs>
        <w:ind w:left="567" w:hanging="567"/>
      </w:pPr>
      <w:r w:rsidRPr="00151A6A">
        <w:t>There is no equalities impact relating to this report.</w:t>
      </w:r>
    </w:p>
    <w:p w:rsidR="00461937" w:rsidRPr="00AA6F7F" w:rsidRDefault="00461937" w:rsidP="00461937">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683B44" w:rsidTr="00683B44">
        <w:tc>
          <w:tcPr>
            <w:tcW w:w="8522" w:type="dxa"/>
            <w:tcBorders>
              <w:top w:val="single" w:sz="4" w:space="0" w:color="auto"/>
              <w:left w:val="single" w:sz="4" w:space="0" w:color="auto"/>
              <w:bottom w:val="nil"/>
              <w:right w:val="single" w:sz="4" w:space="0" w:color="auto"/>
            </w:tcBorders>
            <w:hideMark/>
          </w:tcPr>
          <w:p w:rsidR="00683B44" w:rsidRDefault="00683B44">
            <w:pPr>
              <w:tabs>
                <w:tab w:val="left" w:pos="720"/>
                <w:tab w:val="left" w:pos="1440"/>
                <w:tab w:val="left" w:pos="2160"/>
                <w:tab w:val="left" w:pos="2880"/>
              </w:tabs>
            </w:pPr>
            <w:r>
              <w:rPr>
                <w:b/>
                <w:bCs/>
              </w:rPr>
              <w:t>Name and contact details of author:-</w:t>
            </w:r>
          </w:p>
        </w:tc>
      </w:tr>
      <w:tr w:rsidR="00683B44" w:rsidTr="00683B44">
        <w:tc>
          <w:tcPr>
            <w:tcW w:w="8522" w:type="dxa"/>
            <w:tcBorders>
              <w:top w:val="nil"/>
              <w:left w:val="single" w:sz="4" w:space="0" w:color="auto"/>
              <w:bottom w:val="nil"/>
              <w:right w:val="single" w:sz="4" w:space="0" w:color="auto"/>
            </w:tcBorders>
          </w:tcPr>
          <w:p w:rsidR="00683B44" w:rsidRDefault="00683B44">
            <w:pPr>
              <w:tabs>
                <w:tab w:val="left" w:pos="720"/>
                <w:tab w:val="left" w:pos="1440"/>
                <w:tab w:val="left" w:pos="2160"/>
                <w:tab w:val="left" w:pos="2880"/>
              </w:tabs>
            </w:pPr>
          </w:p>
          <w:p w:rsidR="00683B44" w:rsidRDefault="00683B44" w:rsidP="00683B44">
            <w:pPr>
              <w:tabs>
                <w:tab w:val="left" w:pos="720"/>
                <w:tab w:val="left" w:pos="1440"/>
                <w:tab w:val="left" w:pos="2160"/>
                <w:tab w:val="left" w:pos="2880"/>
              </w:tabs>
            </w:pPr>
            <w:r>
              <w:t>Name:  Bill Lewis</w:t>
            </w:r>
          </w:p>
        </w:tc>
      </w:tr>
      <w:tr w:rsidR="00683B44" w:rsidTr="00683B44">
        <w:tc>
          <w:tcPr>
            <w:tcW w:w="8522" w:type="dxa"/>
            <w:tcBorders>
              <w:top w:val="nil"/>
              <w:left w:val="single" w:sz="4" w:space="0" w:color="auto"/>
              <w:bottom w:val="nil"/>
              <w:right w:val="single" w:sz="4" w:space="0" w:color="auto"/>
            </w:tcBorders>
            <w:hideMark/>
          </w:tcPr>
          <w:p w:rsidR="00683B44" w:rsidRDefault="00683B44">
            <w:pPr>
              <w:tabs>
                <w:tab w:val="left" w:pos="720"/>
                <w:tab w:val="left" w:pos="1440"/>
                <w:tab w:val="left" w:pos="2160"/>
                <w:tab w:val="left" w:pos="2880"/>
              </w:tabs>
            </w:pPr>
            <w:r>
              <w:t>Job title:  Financial Accounting Manager</w:t>
            </w:r>
          </w:p>
        </w:tc>
      </w:tr>
      <w:tr w:rsidR="00683B44" w:rsidTr="00683B44">
        <w:tc>
          <w:tcPr>
            <w:tcW w:w="8522" w:type="dxa"/>
            <w:tcBorders>
              <w:top w:val="nil"/>
              <w:left w:val="single" w:sz="4" w:space="0" w:color="auto"/>
              <w:bottom w:val="nil"/>
              <w:right w:val="single" w:sz="4" w:space="0" w:color="auto"/>
            </w:tcBorders>
            <w:hideMark/>
          </w:tcPr>
          <w:p w:rsidR="00683B44" w:rsidRDefault="00683B44" w:rsidP="00683B44">
            <w:pPr>
              <w:tabs>
                <w:tab w:val="left" w:pos="720"/>
                <w:tab w:val="left" w:pos="1440"/>
                <w:tab w:val="left" w:pos="2160"/>
                <w:tab w:val="left" w:pos="2880"/>
              </w:tabs>
            </w:pPr>
            <w:r>
              <w:t>Service Area / Department:  Financial Services</w:t>
            </w:r>
          </w:p>
        </w:tc>
      </w:tr>
      <w:tr w:rsidR="00683B44" w:rsidTr="00683B44">
        <w:tc>
          <w:tcPr>
            <w:tcW w:w="8522" w:type="dxa"/>
            <w:tcBorders>
              <w:top w:val="nil"/>
              <w:left w:val="single" w:sz="4" w:space="0" w:color="auto"/>
              <w:bottom w:val="single" w:sz="4" w:space="0" w:color="auto"/>
              <w:right w:val="single" w:sz="4" w:space="0" w:color="auto"/>
            </w:tcBorders>
            <w:hideMark/>
          </w:tcPr>
          <w:p w:rsidR="00683B44" w:rsidRDefault="00683B44" w:rsidP="00683B44">
            <w:pPr>
              <w:tabs>
                <w:tab w:val="left" w:pos="720"/>
                <w:tab w:val="left" w:pos="1440"/>
                <w:tab w:val="left" w:pos="2160"/>
                <w:tab w:val="left" w:pos="2880"/>
              </w:tabs>
              <w:rPr>
                <w:color w:val="0000FF"/>
                <w:u w:val="single"/>
              </w:rPr>
            </w:pPr>
            <w:r>
              <w:t xml:space="preserve">Tel:  01865 252607  e-mail:  blewis@oxford.gov.uk  </w:t>
            </w:r>
          </w:p>
        </w:tc>
      </w:tr>
    </w:tbl>
    <w:p w:rsidR="00683B44" w:rsidRDefault="00683B44" w:rsidP="00683B44">
      <w:pPr>
        <w:rPr>
          <w:rFonts w:cs="Arial"/>
          <w:b/>
          <w:bCs/>
          <w:sz w:val="20"/>
        </w:rPr>
      </w:pPr>
    </w:p>
    <w:p w:rsidR="00683B44" w:rsidRDefault="00683B44" w:rsidP="00683B44">
      <w:pPr>
        <w:rPr>
          <w:rFonts w:cs="Arial"/>
          <w:bCs/>
          <w:i/>
        </w:rPr>
      </w:pPr>
      <w:r>
        <w:rPr>
          <w:rFonts w:cs="Arial"/>
          <w:b/>
          <w:bCs/>
        </w:rPr>
        <w:t>List of background papers:</w:t>
      </w:r>
    </w:p>
    <w:p w:rsidR="00683B44" w:rsidRDefault="00683B44" w:rsidP="00461937">
      <w:pPr>
        <w:jc w:val="both"/>
      </w:pPr>
    </w:p>
    <w:p w:rsidR="00486681" w:rsidRDefault="00486681" w:rsidP="00506679">
      <w:pPr>
        <w:jc w:val="right"/>
        <w:rPr>
          <w:i/>
          <w:highlight w:val="yellow"/>
        </w:rPr>
      </w:pPr>
    </w:p>
    <w:sectPr w:rsidR="00486681" w:rsidSect="006122C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20" w:rsidRDefault="00581320">
      <w:r>
        <w:separator/>
      </w:r>
    </w:p>
  </w:endnote>
  <w:endnote w:type="continuationSeparator" w:id="0">
    <w:p w:rsidR="00581320" w:rsidRDefault="005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20" w:rsidRDefault="00581320">
      <w:r>
        <w:separator/>
      </w:r>
    </w:p>
  </w:footnote>
  <w:footnote w:type="continuationSeparator" w:id="0">
    <w:p w:rsidR="00581320" w:rsidRDefault="00581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77C"/>
    <w:multiLevelType w:val="hybridMultilevel"/>
    <w:tmpl w:val="6B369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9909A3"/>
    <w:multiLevelType w:val="multilevel"/>
    <w:tmpl w:val="B002F37E"/>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1261B59"/>
    <w:multiLevelType w:val="hybridMultilevel"/>
    <w:tmpl w:val="A530B740"/>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nsid w:val="11D30D1F"/>
    <w:multiLevelType w:val="hybridMultilevel"/>
    <w:tmpl w:val="90DA66B8"/>
    <w:lvl w:ilvl="0" w:tplc="235CF6F2">
      <w:start w:val="1"/>
      <w:numFmt w:val="decimal"/>
      <w:lvlText w:val="%1."/>
      <w:lvlJc w:val="left"/>
      <w:pPr>
        <w:tabs>
          <w:tab w:val="num" w:pos="720"/>
        </w:tabs>
        <w:ind w:left="720" w:hanging="360"/>
      </w:pPr>
      <w:rPr>
        <w:rFonts w:cs="Times New Roman"/>
      </w:rPr>
    </w:lvl>
    <w:lvl w:ilvl="1" w:tplc="5980FE12">
      <w:start w:val="1"/>
      <w:numFmt w:val="bullet"/>
      <w:lvlText w:val=""/>
      <w:lvlJc w:val="left"/>
      <w:pPr>
        <w:tabs>
          <w:tab w:val="num" w:pos="1440"/>
        </w:tabs>
        <w:ind w:left="1440" w:hanging="360"/>
      </w:pPr>
      <w:rPr>
        <w:rFonts w:ascii="Symbol" w:hAnsi="Symbol" w:hint="default"/>
      </w:rPr>
    </w:lvl>
    <w:lvl w:ilvl="2" w:tplc="B8D0A3A6">
      <w:start w:val="1"/>
      <w:numFmt w:val="lowerRoman"/>
      <w:lvlText w:val="%3."/>
      <w:lvlJc w:val="right"/>
      <w:pPr>
        <w:tabs>
          <w:tab w:val="num" w:pos="2160"/>
        </w:tabs>
        <w:ind w:left="2160" w:hanging="180"/>
      </w:pPr>
      <w:rPr>
        <w:rFonts w:cs="Times New Roman"/>
      </w:rPr>
    </w:lvl>
    <w:lvl w:ilvl="3" w:tplc="B8E25334">
      <w:start w:val="1"/>
      <w:numFmt w:val="decimal"/>
      <w:lvlText w:val="%4."/>
      <w:lvlJc w:val="left"/>
      <w:pPr>
        <w:tabs>
          <w:tab w:val="num" w:pos="2880"/>
        </w:tabs>
        <w:ind w:left="2880" w:hanging="360"/>
      </w:pPr>
      <w:rPr>
        <w:rFonts w:cs="Times New Roman"/>
      </w:rPr>
    </w:lvl>
    <w:lvl w:ilvl="4" w:tplc="46EC59A8">
      <w:start w:val="1"/>
      <w:numFmt w:val="lowerLetter"/>
      <w:lvlText w:val="%5."/>
      <w:lvlJc w:val="left"/>
      <w:pPr>
        <w:tabs>
          <w:tab w:val="num" w:pos="3600"/>
        </w:tabs>
        <w:ind w:left="3600" w:hanging="360"/>
      </w:pPr>
      <w:rPr>
        <w:rFonts w:cs="Times New Roman"/>
      </w:rPr>
    </w:lvl>
    <w:lvl w:ilvl="5" w:tplc="F5405A52">
      <w:start w:val="1"/>
      <w:numFmt w:val="lowerRoman"/>
      <w:lvlText w:val="%6."/>
      <w:lvlJc w:val="right"/>
      <w:pPr>
        <w:tabs>
          <w:tab w:val="num" w:pos="4320"/>
        </w:tabs>
        <w:ind w:left="4320" w:hanging="180"/>
      </w:pPr>
      <w:rPr>
        <w:rFonts w:cs="Times New Roman"/>
      </w:rPr>
    </w:lvl>
    <w:lvl w:ilvl="6" w:tplc="88687F6E">
      <w:start w:val="1"/>
      <w:numFmt w:val="decimal"/>
      <w:lvlText w:val="%7."/>
      <w:lvlJc w:val="left"/>
      <w:pPr>
        <w:tabs>
          <w:tab w:val="num" w:pos="5040"/>
        </w:tabs>
        <w:ind w:left="5040" w:hanging="360"/>
      </w:pPr>
      <w:rPr>
        <w:rFonts w:cs="Times New Roman"/>
      </w:rPr>
    </w:lvl>
    <w:lvl w:ilvl="7" w:tplc="211A5DCA">
      <w:start w:val="1"/>
      <w:numFmt w:val="lowerLetter"/>
      <w:lvlText w:val="%8."/>
      <w:lvlJc w:val="left"/>
      <w:pPr>
        <w:tabs>
          <w:tab w:val="num" w:pos="5760"/>
        </w:tabs>
        <w:ind w:left="5760" w:hanging="360"/>
      </w:pPr>
      <w:rPr>
        <w:rFonts w:cs="Times New Roman"/>
      </w:rPr>
    </w:lvl>
    <w:lvl w:ilvl="8" w:tplc="6674CAD8">
      <w:start w:val="1"/>
      <w:numFmt w:val="lowerRoman"/>
      <w:lvlText w:val="%9."/>
      <w:lvlJc w:val="right"/>
      <w:pPr>
        <w:tabs>
          <w:tab w:val="num" w:pos="6480"/>
        </w:tabs>
        <w:ind w:left="6480" w:hanging="180"/>
      </w:pPr>
      <w:rPr>
        <w:rFonts w:cs="Times New Roman"/>
      </w:rPr>
    </w:lvl>
  </w:abstractNum>
  <w:abstractNum w:abstractNumId="4">
    <w:nsid w:val="14F65D2D"/>
    <w:multiLevelType w:val="hybridMultilevel"/>
    <w:tmpl w:val="1DC0C9BE"/>
    <w:lvl w:ilvl="0" w:tplc="08090013">
      <w:start w:val="1"/>
      <w:numFmt w:val="upperRoman"/>
      <w:lvlText w:val="%1."/>
      <w:lvlJc w:val="right"/>
      <w:pPr>
        <w:tabs>
          <w:tab w:val="num" w:pos="1620"/>
        </w:tabs>
        <w:ind w:left="1620" w:hanging="18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F67109"/>
    <w:multiLevelType w:val="hybridMultilevel"/>
    <w:tmpl w:val="8DB4C77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07135"/>
    <w:multiLevelType w:val="hybridMultilevel"/>
    <w:tmpl w:val="C84459F2"/>
    <w:lvl w:ilvl="0" w:tplc="FFFFFFFF">
      <w:start w:val="1"/>
      <w:numFmt w:val="decimal"/>
      <w:lvlText w:val="%1."/>
      <w:lvlJc w:val="left"/>
      <w:pPr>
        <w:tabs>
          <w:tab w:val="num" w:pos="417"/>
        </w:tabs>
        <w:ind w:left="417"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E14E9B"/>
    <w:multiLevelType w:val="hybridMultilevel"/>
    <w:tmpl w:val="ADDE950A"/>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9">
    <w:nsid w:val="1BFE1528"/>
    <w:multiLevelType w:val="hybridMultilevel"/>
    <w:tmpl w:val="D58CEE5A"/>
    <w:lvl w:ilvl="0" w:tplc="0409001B">
      <w:start w:val="1"/>
      <w:numFmt w:val="lowerRoman"/>
      <w:lvlText w:val="%1."/>
      <w:lvlJc w:val="right"/>
      <w:pPr>
        <w:tabs>
          <w:tab w:val="num" w:pos="1620"/>
        </w:tabs>
        <w:ind w:left="162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FA81D5B"/>
    <w:multiLevelType w:val="hybridMultilevel"/>
    <w:tmpl w:val="51967394"/>
    <w:lvl w:ilvl="0" w:tplc="1786D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8150C"/>
    <w:multiLevelType w:val="hybridMultilevel"/>
    <w:tmpl w:val="1E645E52"/>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CB14162"/>
    <w:multiLevelType w:val="hybridMultilevel"/>
    <w:tmpl w:val="F808F35E"/>
    <w:lvl w:ilvl="0" w:tplc="08090017">
      <w:start w:val="1"/>
      <w:numFmt w:val="lowerLetter"/>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3">
    <w:nsid w:val="326C1B26"/>
    <w:multiLevelType w:val="hybridMultilevel"/>
    <w:tmpl w:val="828CC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05B53"/>
    <w:multiLevelType w:val="hybridMultilevel"/>
    <w:tmpl w:val="B3D0A826"/>
    <w:lvl w:ilvl="0" w:tplc="08090001">
      <w:start w:val="1"/>
      <w:numFmt w:val="bullet"/>
      <w:lvlText w:val=""/>
      <w:lvlJc w:val="left"/>
      <w:pPr>
        <w:ind w:left="720" w:hanging="360"/>
      </w:pPr>
      <w:rPr>
        <w:rFonts w:ascii="Symbol" w:hAnsi="Symbol"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3171F"/>
    <w:multiLevelType w:val="hybridMultilevel"/>
    <w:tmpl w:val="29F61192"/>
    <w:lvl w:ilvl="0" w:tplc="7B9EC60A">
      <w:start w:val="25"/>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6A815C2"/>
    <w:multiLevelType w:val="hybridMultilevel"/>
    <w:tmpl w:val="D0D661F0"/>
    <w:lvl w:ilvl="0" w:tplc="0409001B">
      <w:start w:val="1"/>
      <w:numFmt w:val="lowerRoman"/>
      <w:lvlText w:val="%1."/>
      <w:lvlJc w:val="right"/>
      <w:pPr>
        <w:tabs>
          <w:tab w:val="num" w:pos="1620"/>
        </w:tabs>
        <w:ind w:left="16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05381E"/>
    <w:multiLevelType w:val="multilevel"/>
    <w:tmpl w:val="A41AEAC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51774"/>
    <w:multiLevelType w:val="hybridMultilevel"/>
    <w:tmpl w:val="E0B05372"/>
    <w:lvl w:ilvl="0" w:tplc="1786DEA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06942A4"/>
    <w:multiLevelType w:val="hybridMultilevel"/>
    <w:tmpl w:val="23C46346"/>
    <w:lvl w:ilvl="0" w:tplc="0809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0787717"/>
    <w:multiLevelType w:val="hybridMultilevel"/>
    <w:tmpl w:val="FF6EA570"/>
    <w:lvl w:ilvl="0" w:tplc="FFFFFFFF">
      <w:start w:val="1"/>
      <w:numFmt w:val="decimal"/>
      <w:lvlText w:val="%1."/>
      <w:lvlJc w:val="left"/>
      <w:pPr>
        <w:tabs>
          <w:tab w:val="num" w:pos="720"/>
        </w:tabs>
        <w:ind w:left="720" w:hanging="360"/>
      </w:pPr>
    </w:lvl>
    <w:lvl w:ilvl="1" w:tplc="67547C80">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4132D"/>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330938"/>
    <w:multiLevelType w:val="hybridMultilevel"/>
    <w:tmpl w:val="BD643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6142D8F"/>
    <w:multiLevelType w:val="hybridMultilevel"/>
    <w:tmpl w:val="6E320B3A"/>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6604B3"/>
    <w:multiLevelType w:val="multilevel"/>
    <w:tmpl w:val="8A82253C"/>
    <w:lvl w:ilvl="0">
      <w:start w:val="1"/>
      <w:numFmt w:val="decimal"/>
      <w:lvlText w:val="%1."/>
      <w:lvlJc w:val="left"/>
      <w:pPr>
        <w:tabs>
          <w:tab w:val="num" w:pos="720"/>
        </w:tabs>
        <w:ind w:left="720" w:hanging="360"/>
      </w:pPr>
      <w:rPr>
        <w:color w:val="auto"/>
      </w:rPr>
    </w:lvl>
    <w:lvl w:ilvl="1">
      <w:start w:val="1"/>
      <w:numFmt w:val="upperRoman"/>
      <w:lvlText w:val="%2."/>
      <w:lvlJc w:val="right"/>
      <w:pPr>
        <w:tabs>
          <w:tab w:val="num" w:pos="1260"/>
        </w:tabs>
        <w:ind w:left="1260" w:hanging="180"/>
      </w:pPr>
      <w:rPr>
        <w:i w:val="0"/>
      </w:rPr>
    </w:lvl>
    <w:lvl w:ilvl="2">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8072F3"/>
    <w:multiLevelType w:val="hybridMultilevel"/>
    <w:tmpl w:val="2E9471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7D433D"/>
    <w:multiLevelType w:val="hybridMultilevel"/>
    <w:tmpl w:val="5E4E375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7FC6117"/>
    <w:multiLevelType w:val="hybridMultilevel"/>
    <w:tmpl w:val="ED8823C6"/>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9">
    <w:nsid w:val="49421C93"/>
    <w:multiLevelType w:val="hybridMultilevel"/>
    <w:tmpl w:val="B20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693617"/>
    <w:multiLevelType w:val="hybridMultilevel"/>
    <w:tmpl w:val="C024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8B276A"/>
    <w:multiLevelType w:val="hybridMultilevel"/>
    <w:tmpl w:val="6A584B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4D5C1665"/>
    <w:multiLevelType w:val="multilevel"/>
    <w:tmpl w:val="1DC0C9BE"/>
    <w:lvl w:ilvl="0">
      <w:start w:val="1"/>
      <w:numFmt w:val="upperRoman"/>
      <w:lvlText w:val="%1."/>
      <w:lvlJc w:val="right"/>
      <w:pPr>
        <w:tabs>
          <w:tab w:val="num" w:pos="1620"/>
        </w:tabs>
        <w:ind w:left="162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nsid w:val="51CA6FE2"/>
    <w:multiLevelType w:val="hybridMultilevel"/>
    <w:tmpl w:val="E548972C"/>
    <w:lvl w:ilvl="0" w:tplc="08090001">
      <w:start w:val="1"/>
      <w:numFmt w:val="bullet"/>
      <w:lvlText w:val=""/>
      <w:lvlJc w:val="left"/>
      <w:pPr>
        <w:tabs>
          <w:tab w:val="num" w:pos="720"/>
        </w:tabs>
        <w:ind w:left="720" w:hanging="360"/>
      </w:pPr>
      <w:rPr>
        <w:rFonts w:ascii="Symbol" w:hAnsi="Symbol" w:hint="default"/>
        <w:i w:val="0"/>
        <w:color w:val="auto"/>
      </w:rPr>
    </w:lvl>
    <w:lvl w:ilvl="1" w:tplc="D67C08AE">
      <w:start w:val="1"/>
      <w:numFmt w:val="upperRoman"/>
      <w:lvlText w:val="%2."/>
      <w:lvlJc w:val="right"/>
      <w:pPr>
        <w:tabs>
          <w:tab w:val="num" w:pos="1260"/>
        </w:tabs>
        <w:ind w:left="1260" w:hanging="180"/>
      </w:pPr>
      <w:rPr>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541BDD"/>
    <w:multiLevelType w:val="hybridMultilevel"/>
    <w:tmpl w:val="2D986D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3A2420C"/>
    <w:multiLevelType w:val="hybridMultilevel"/>
    <w:tmpl w:val="169CA9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4B326DA"/>
    <w:multiLevelType w:val="multilevel"/>
    <w:tmpl w:val="D58CEE5A"/>
    <w:lvl w:ilvl="0">
      <w:start w:val="1"/>
      <w:numFmt w:val="lowerRoman"/>
      <w:lvlText w:val="%1."/>
      <w:lvlJc w:val="right"/>
      <w:pPr>
        <w:tabs>
          <w:tab w:val="num" w:pos="1620"/>
        </w:tabs>
        <w:ind w:left="16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nsid w:val="5A8F581F"/>
    <w:multiLevelType w:val="hybridMultilevel"/>
    <w:tmpl w:val="B9C8C742"/>
    <w:lvl w:ilvl="0" w:tplc="08090001">
      <w:start w:val="1"/>
      <w:numFmt w:val="bullet"/>
      <w:lvlText w:val=""/>
      <w:lvlJc w:val="left"/>
      <w:pPr>
        <w:tabs>
          <w:tab w:val="num" w:pos="360"/>
        </w:tabs>
        <w:ind w:left="360" w:hanging="360"/>
      </w:pPr>
      <w:rPr>
        <w:rFonts w:ascii="Symbol" w:hAnsi="Symbol" w:hint="default"/>
        <w:b/>
        <w:i w:val="0"/>
        <w:color w:val="auto"/>
        <w:sz w:val="22"/>
        <w:szCs w:val="22"/>
      </w:rPr>
    </w:lvl>
    <w:lvl w:ilvl="1" w:tplc="08090001">
      <w:start w:val="1"/>
      <w:numFmt w:val="bullet"/>
      <w:lvlText w:val=""/>
      <w:lvlJc w:val="left"/>
      <w:pPr>
        <w:tabs>
          <w:tab w:val="num" w:pos="720"/>
        </w:tabs>
        <w:ind w:left="720" w:hanging="360"/>
      </w:pPr>
      <w:rPr>
        <w:rFonts w:ascii="Symbol" w:hAnsi="Symbol" w:hint="default"/>
        <w:b/>
        <w:i w:val="0"/>
        <w:color w:val="auto"/>
        <w:sz w:val="22"/>
        <w:szCs w:val="22"/>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9">
    <w:nsid w:val="5F574A43"/>
    <w:multiLevelType w:val="hybridMultilevel"/>
    <w:tmpl w:val="FF02948E"/>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877089"/>
    <w:multiLevelType w:val="hybridMultilevel"/>
    <w:tmpl w:val="F3BAD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94E271E"/>
    <w:multiLevelType w:val="hybridMultilevel"/>
    <w:tmpl w:val="E4BC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D77B32"/>
    <w:multiLevelType w:val="hybridMultilevel"/>
    <w:tmpl w:val="DCEE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692E95"/>
    <w:multiLevelType w:val="hybridMultilevel"/>
    <w:tmpl w:val="9C641BC2"/>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58C5FAA"/>
    <w:multiLevelType w:val="hybridMultilevel"/>
    <w:tmpl w:val="8EE694B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9574274"/>
    <w:multiLevelType w:val="hybridMultilevel"/>
    <w:tmpl w:val="248EE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13"/>
  </w:num>
  <w:num w:numId="3">
    <w:abstractNumId w:val="21"/>
  </w:num>
  <w:num w:numId="4">
    <w:abstractNumId w:val="26"/>
  </w:num>
  <w:num w:numId="5">
    <w:abstractNumId w:val="4"/>
  </w:num>
  <w:num w:numId="6">
    <w:abstractNumId w:val="17"/>
  </w:num>
  <w:num w:numId="7">
    <w:abstractNumId w:val="43"/>
  </w:num>
  <w:num w:numId="8">
    <w:abstractNumId w:val="44"/>
  </w:num>
  <w:num w:numId="9">
    <w:abstractNumId w:val="9"/>
  </w:num>
  <w:num w:numId="10">
    <w:abstractNumId w:val="32"/>
  </w:num>
  <w:num w:numId="11">
    <w:abstractNumId w:val="27"/>
  </w:num>
  <w:num w:numId="12">
    <w:abstractNumId w:val="1"/>
  </w:num>
  <w:num w:numId="13">
    <w:abstractNumId w:val="0"/>
  </w:num>
  <w:num w:numId="14">
    <w:abstractNumId w:val="6"/>
  </w:num>
  <w:num w:numId="15">
    <w:abstractNumId w:val="25"/>
  </w:num>
  <w:num w:numId="16">
    <w:abstractNumId w:val="3"/>
  </w:num>
  <w:num w:numId="17">
    <w:abstractNumId w:val="40"/>
  </w:num>
  <w:num w:numId="18">
    <w:abstractNumId w:val="38"/>
  </w:num>
  <w:num w:numId="19">
    <w:abstractNumId w:val="12"/>
  </w:num>
  <w:num w:numId="20">
    <w:abstractNumId w:val="22"/>
  </w:num>
  <w:num w:numId="21">
    <w:abstractNumId w:val="45"/>
  </w:num>
  <w:num w:numId="22">
    <w:abstractNumId w:val="34"/>
  </w:num>
  <w:num w:numId="23">
    <w:abstractNumId w:val="2"/>
  </w:num>
  <w:num w:numId="24">
    <w:abstractNumId w:val="11"/>
  </w:num>
  <w:num w:numId="25">
    <w:abstractNumId w:val="36"/>
  </w:num>
  <w:num w:numId="26">
    <w:abstractNumId w:val="19"/>
  </w:num>
  <w:num w:numId="27">
    <w:abstractNumId w:val="35"/>
  </w:num>
  <w:num w:numId="28">
    <w:abstractNumId w:val="20"/>
  </w:num>
  <w:num w:numId="29">
    <w:abstractNumId w:val="5"/>
  </w:num>
  <w:num w:numId="30">
    <w:abstractNumId w:val="7"/>
  </w:num>
  <w:num w:numId="31">
    <w:abstractNumId w:val="33"/>
  </w:num>
  <w:num w:numId="32">
    <w:abstractNumId w:val="37"/>
  </w:num>
  <w:num w:numId="33">
    <w:abstractNumId w:val="16"/>
  </w:num>
  <w:num w:numId="34">
    <w:abstractNumId w:val="8"/>
  </w:num>
  <w:num w:numId="35">
    <w:abstractNumId w:val="15"/>
  </w:num>
  <w:num w:numId="36">
    <w:abstractNumId w:val="41"/>
  </w:num>
  <w:num w:numId="37">
    <w:abstractNumId w:val="29"/>
  </w:num>
  <w:num w:numId="38">
    <w:abstractNumId w:val="10"/>
  </w:num>
  <w:num w:numId="39">
    <w:abstractNumId w:val="18"/>
  </w:num>
  <w:num w:numId="40">
    <w:abstractNumId w:val="30"/>
  </w:num>
  <w:num w:numId="41">
    <w:abstractNumId w:val="4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3"/>
  </w:num>
  <w:num w:numId="45">
    <w:abstractNumId w:val="2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3D4D"/>
    <w:rsid w:val="000169F2"/>
    <w:rsid w:val="000172C3"/>
    <w:rsid w:val="00020266"/>
    <w:rsid w:val="0002489B"/>
    <w:rsid w:val="00026735"/>
    <w:rsid w:val="00026A53"/>
    <w:rsid w:val="00027FDE"/>
    <w:rsid w:val="000302B3"/>
    <w:rsid w:val="00031F4A"/>
    <w:rsid w:val="000356D0"/>
    <w:rsid w:val="00042701"/>
    <w:rsid w:val="0005007A"/>
    <w:rsid w:val="000501A8"/>
    <w:rsid w:val="00050E7F"/>
    <w:rsid w:val="00051DD3"/>
    <w:rsid w:val="00055B75"/>
    <w:rsid w:val="000651FA"/>
    <w:rsid w:val="00070143"/>
    <w:rsid w:val="000718AC"/>
    <w:rsid w:val="00071928"/>
    <w:rsid w:val="00075011"/>
    <w:rsid w:val="000768F9"/>
    <w:rsid w:val="00077208"/>
    <w:rsid w:val="0007756E"/>
    <w:rsid w:val="000800F1"/>
    <w:rsid w:val="00084147"/>
    <w:rsid w:val="000844E1"/>
    <w:rsid w:val="00091119"/>
    <w:rsid w:val="00093818"/>
    <w:rsid w:val="00094A4A"/>
    <w:rsid w:val="0009563C"/>
    <w:rsid w:val="000970B0"/>
    <w:rsid w:val="00097EF4"/>
    <w:rsid w:val="000A008E"/>
    <w:rsid w:val="000A4414"/>
    <w:rsid w:val="000A72E5"/>
    <w:rsid w:val="000C122F"/>
    <w:rsid w:val="000C1500"/>
    <w:rsid w:val="000C20B7"/>
    <w:rsid w:val="000C4FBD"/>
    <w:rsid w:val="000C572E"/>
    <w:rsid w:val="000C761B"/>
    <w:rsid w:val="000D7061"/>
    <w:rsid w:val="000D7B0F"/>
    <w:rsid w:val="000E3797"/>
    <w:rsid w:val="000E57C7"/>
    <w:rsid w:val="000E7754"/>
    <w:rsid w:val="000F18C8"/>
    <w:rsid w:val="000F35EA"/>
    <w:rsid w:val="000F438B"/>
    <w:rsid w:val="00100A52"/>
    <w:rsid w:val="0010399C"/>
    <w:rsid w:val="00113EFC"/>
    <w:rsid w:val="0012241C"/>
    <w:rsid w:val="00126F03"/>
    <w:rsid w:val="001315B2"/>
    <w:rsid w:val="00131B25"/>
    <w:rsid w:val="0013252E"/>
    <w:rsid w:val="00140F6A"/>
    <w:rsid w:val="0014143E"/>
    <w:rsid w:val="0014154A"/>
    <w:rsid w:val="00141EA4"/>
    <w:rsid w:val="00151A6A"/>
    <w:rsid w:val="001528DA"/>
    <w:rsid w:val="00153020"/>
    <w:rsid w:val="00153251"/>
    <w:rsid w:val="0015325E"/>
    <w:rsid w:val="00156D1F"/>
    <w:rsid w:val="00160431"/>
    <w:rsid w:val="00160902"/>
    <w:rsid w:val="00160C68"/>
    <w:rsid w:val="00161DBC"/>
    <w:rsid w:val="001728A4"/>
    <w:rsid w:val="001762C1"/>
    <w:rsid w:val="0017631D"/>
    <w:rsid w:val="00180914"/>
    <w:rsid w:val="0018212D"/>
    <w:rsid w:val="00182388"/>
    <w:rsid w:val="00194C77"/>
    <w:rsid w:val="001A0638"/>
    <w:rsid w:val="001A086C"/>
    <w:rsid w:val="001A0FFC"/>
    <w:rsid w:val="001A3AA0"/>
    <w:rsid w:val="001A3DD4"/>
    <w:rsid w:val="001A47CD"/>
    <w:rsid w:val="001A6916"/>
    <w:rsid w:val="001A6AF5"/>
    <w:rsid w:val="001B0743"/>
    <w:rsid w:val="001B379D"/>
    <w:rsid w:val="001B5AD1"/>
    <w:rsid w:val="001B699C"/>
    <w:rsid w:val="001B7647"/>
    <w:rsid w:val="001C1B95"/>
    <w:rsid w:val="001D0A97"/>
    <w:rsid w:val="001E03FE"/>
    <w:rsid w:val="001E0A28"/>
    <w:rsid w:val="001E6B9E"/>
    <w:rsid w:val="001F1C5C"/>
    <w:rsid w:val="001F2A31"/>
    <w:rsid w:val="001F381C"/>
    <w:rsid w:val="001F4894"/>
    <w:rsid w:val="002011F8"/>
    <w:rsid w:val="00201845"/>
    <w:rsid w:val="00203417"/>
    <w:rsid w:val="00203E90"/>
    <w:rsid w:val="0020588C"/>
    <w:rsid w:val="0021283C"/>
    <w:rsid w:val="00214366"/>
    <w:rsid w:val="00216970"/>
    <w:rsid w:val="0022091A"/>
    <w:rsid w:val="00221B65"/>
    <w:rsid w:val="0022648C"/>
    <w:rsid w:val="00227CAE"/>
    <w:rsid w:val="002317E8"/>
    <w:rsid w:val="002324B4"/>
    <w:rsid w:val="00232B04"/>
    <w:rsid w:val="00236642"/>
    <w:rsid w:val="00243770"/>
    <w:rsid w:val="002516B9"/>
    <w:rsid w:val="00253DAA"/>
    <w:rsid w:val="00261935"/>
    <w:rsid w:val="00263556"/>
    <w:rsid w:val="002642ED"/>
    <w:rsid w:val="002666BE"/>
    <w:rsid w:val="002667BA"/>
    <w:rsid w:val="00267BC5"/>
    <w:rsid w:val="00270698"/>
    <w:rsid w:val="00274CB0"/>
    <w:rsid w:val="00274FCE"/>
    <w:rsid w:val="00275CF6"/>
    <w:rsid w:val="00277A22"/>
    <w:rsid w:val="0028063A"/>
    <w:rsid w:val="00280C6A"/>
    <w:rsid w:val="00281820"/>
    <w:rsid w:val="00282761"/>
    <w:rsid w:val="002835C5"/>
    <w:rsid w:val="00284655"/>
    <w:rsid w:val="00293372"/>
    <w:rsid w:val="002A0037"/>
    <w:rsid w:val="002A01D0"/>
    <w:rsid w:val="002A172A"/>
    <w:rsid w:val="002A21C7"/>
    <w:rsid w:val="002A2549"/>
    <w:rsid w:val="002A4987"/>
    <w:rsid w:val="002B0EC7"/>
    <w:rsid w:val="002B40C6"/>
    <w:rsid w:val="002B641E"/>
    <w:rsid w:val="002B6A75"/>
    <w:rsid w:val="002C0A83"/>
    <w:rsid w:val="002C25F6"/>
    <w:rsid w:val="002C5595"/>
    <w:rsid w:val="002C608A"/>
    <w:rsid w:val="002D20F2"/>
    <w:rsid w:val="002D39E2"/>
    <w:rsid w:val="002D500E"/>
    <w:rsid w:val="002E06AF"/>
    <w:rsid w:val="002E0F23"/>
    <w:rsid w:val="002F1DEC"/>
    <w:rsid w:val="002F5F4E"/>
    <w:rsid w:val="002F7007"/>
    <w:rsid w:val="003012A0"/>
    <w:rsid w:val="00303689"/>
    <w:rsid w:val="00306666"/>
    <w:rsid w:val="00312150"/>
    <w:rsid w:val="0031515B"/>
    <w:rsid w:val="003160AE"/>
    <w:rsid w:val="00317197"/>
    <w:rsid w:val="00317C43"/>
    <w:rsid w:val="00321227"/>
    <w:rsid w:val="00325D19"/>
    <w:rsid w:val="003318B1"/>
    <w:rsid w:val="00334171"/>
    <w:rsid w:val="003357DE"/>
    <w:rsid w:val="00341A3D"/>
    <w:rsid w:val="00342A9B"/>
    <w:rsid w:val="00347A39"/>
    <w:rsid w:val="00350ABB"/>
    <w:rsid w:val="00351567"/>
    <w:rsid w:val="00355AC4"/>
    <w:rsid w:val="003752C2"/>
    <w:rsid w:val="00375930"/>
    <w:rsid w:val="003759D8"/>
    <w:rsid w:val="00376ED8"/>
    <w:rsid w:val="00381B2F"/>
    <w:rsid w:val="00382EA3"/>
    <w:rsid w:val="00382EC8"/>
    <w:rsid w:val="00385544"/>
    <w:rsid w:val="00385F58"/>
    <w:rsid w:val="003921B2"/>
    <w:rsid w:val="003A1E65"/>
    <w:rsid w:val="003A37F7"/>
    <w:rsid w:val="003A4546"/>
    <w:rsid w:val="003A6F78"/>
    <w:rsid w:val="003A7CE6"/>
    <w:rsid w:val="003B0CE6"/>
    <w:rsid w:val="003B344C"/>
    <w:rsid w:val="003C0B2D"/>
    <w:rsid w:val="003C3A84"/>
    <w:rsid w:val="003C3C9B"/>
    <w:rsid w:val="003C700D"/>
    <w:rsid w:val="003C7A90"/>
    <w:rsid w:val="003D3B55"/>
    <w:rsid w:val="003D3FD3"/>
    <w:rsid w:val="003E0812"/>
    <w:rsid w:val="003E67B4"/>
    <w:rsid w:val="003E6AA1"/>
    <w:rsid w:val="003F0891"/>
    <w:rsid w:val="003F1B13"/>
    <w:rsid w:val="003F33E6"/>
    <w:rsid w:val="003F45CC"/>
    <w:rsid w:val="003F47EB"/>
    <w:rsid w:val="003F55A6"/>
    <w:rsid w:val="003F5F1F"/>
    <w:rsid w:val="003F7DBD"/>
    <w:rsid w:val="00402579"/>
    <w:rsid w:val="00404005"/>
    <w:rsid w:val="0041505A"/>
    <w:rsid w:val="0042104C"/>
    <w:rsid w:val="00421081"/>
    <w:rsid w:val="004210E9"/>
    <w:rsid w:val="00424BC0"/>
    <w:rsid w:val="00427E7B"/>
    <w:rsid w:val="00431FAB"/>
    <w:rsid w:val="004337D2"/>
    <w:rsid w:val="00434685"/>
    <w:rsid w:val="004362AA"/>
    <w:rsid w:val="00436435"/>
    <w:rsid w:val="004378AD"/>
    <w:rsid w:val="00441EE6"/>
    <w:rsid w:val="00442747"/>
    <w:rsid w:val="00442CE9"/>
    <w:rsid w:val="00442D24"/>
    <w:rsid w:val="004434A5"/>
    <w:rsid w:val="00445F83"/>
    <w:rsid w:val="0045319D"/>
    <w:rsid w:val="004550E2"/>
    <w:rsid w:val="0045680D"/>
    <w:rsid w:val="00460238"/>
    <w:rsid w:val="00461937"/>
    <w:rsid w:val="00470F78"/>
    <w:rsid w:val="004714AC"/>
    <w:rsid w:val="00474E62"/>
    <w:rsid w:val="004806A7"/>
    <w:rsid w:val="004816D7"/>
    <w:rsid w:val="00483B91"/>
    <w:rsid w:val="00485217"/>
    <w:rsid w:val="00486681"/>
    <w:rsid w:val="00490D53"/>
    <w:rsid w:val="00494170"/>
    <w:rsid w:val="004950ED"/>
    <w:rsid w:val="004955FA"/>
    <w:rsid w:val="004A337F"/>
    <w:rsid w:val="004A4DDC"/>
    <w:rsid w:val="004A5410"/>
    <w:rsid w:val="004A68F5"/>
    <w:rsid w:val="004A7615"/>
    <w:rsid w:val="004A79FD"/>
    <w:rsid w:val="004B4FE7"/>
    <w:rsid w:val="004B7E0B"/>
    <w:rsid w:val="004C2C93"/>
    <w:rsid w:val="004C51E7"/>
    <w:rsid w:val="004C5C35"/>
    <w:rsid w:val="004D2662"/>
    <w:rsid w:val="004D318B"/>
    <w:rsid w:val="004E160A"/>
    <w:rsid w:val="004E2C09"/>
    <w:rsid w:val="004E6320"/>
    <w:rsid w:val="004F0C9D"/>
    <w:rsid w:val="004F27A6"/>
    <w:rsid w:val="00503323"/>
    <w:rsid w:val="0050372C"/>
    <w:rsid w:val="00503844"/>
    <w:rsid w:val="00504393"/>
    <w:rsid w:val="00505269"/>
    <w:rsid w:val="00506679"/>
    <w:rsid w:val="005118D9"/>
    <w:rsid w:val="00511F7C"/>
    <w:rsid w:val="00515DA4"/>
    <w:rsid w:val="005166F9"/>
    <w:rsid w:val="00521C0B"/>
    <w:rsid w:val="00522FA8"/>
    <w:rsid w:val="00523163"/>
    <w:rsid w:val="0052616A"/>
    <w:rsid w:val="005350C2"/>
    <w:rsid w:val="005373B2"/>
    <w:rsid w:val="0054331F"/>
    <w:rsid w:val="00543530"/>
    <w:rsid w:val="00543596"/>
    <w:rsid w:val="00543974"/>
    <w:rsid w:val="00544B87"/>
    <w:rsid w:val="005462F4"/>
    <w:rsid w:val="0054736E"/>
    <w:rsid w:val="0054760C"/>
    <w:rsid w:val="00547C61"/>
    <w:rsid w:val="00552D08"/>
    <w:rsid w:val="00564BBC"/>
    <w:rsid w:val="00571C53"/>
    <w:rsid w:val="00573E4B"/>
    <w:rsid w:val="00577D16"/>
    <w:rsid w:val="00580BBF"/>
    <w:rsid w:val="00581320"/>
    <w:rsid w:val="005843C4"/>
    <w:rsid w:val="005869C6"/>
    <w:rsid w:val="00586FFF"/>
    <w:rsid w:val="00587257"/>
    <w:rsid w:val="00587EEC"/>
    <w:rsid w:val="00592324"/>
    <w:rsid w:val="005A0424"/>
    <w:rsid w:val="005A4120"/>
    <w:rsid w:val="005A52D6"/>
    <w:rsid w:val="005A5D7C"/>
    <w:rsid w:val="005B321D"/>
    <w:rsid w:val="005B41B9"/>
    <w:rsid w:val="005B5A94"/>
    <w:rsid w:val="005B5EAF"/>
    <w:rsid w:val="005B68DC"/>
    <w:rsid w:val="005C0F89"/>
    <w:rsid w:val="005C2882"/>
    <w:rsid w:val="005C569E"/>
    <w:rsid w:val="005C5EC1"/>
    <w:rsid w:val="005C5FEB"/>
    <w:rsid w:val="005C6ED5"/>
    <w:rsid w:val="005D39A9"/>
    <w:rsid w:val="005D4159"/>
    <w:rsid w:val="005D4FEB"/>
    <w:rsid w:val="005D562B"/>
    <w:rsid w:val="005D5E15"/>
    <w:rsid w:val="005E00A6"/>
    <w:rsid w:val="005E3247"/>
    <w:rsid w:val="005E43F6"/>
    <w:rsid w:val="005F542D"/>
    <w:rsid w:val="00600CF2"/>
    <w:rsid w:val="00601545"/>
    <w:rsid w:val="00607086"/>
    <w:rsid w:val="00611B25"/>
    <w:rsid w:val="006122C1"/>
    <w:rsid w:val="00614C8D"/>
    <w:rsid w:val="006247D8"/>
    <w:rsid w:val="00625F9B"/>
    <w:rsid w:val="00633EA0"/>
    <w:rsid w:val="00634CDC"/>
    <w:rsid w:val="00634DF9"/>
    <w:rsid w:val="00641976"/>
    <w:rsid w:val="006439BD"/>
    <w:rsid w:val="00645740"/>
    <w:rsid w:val="00647396"/>
    <w:rsid w:val="00652B2C"/>
    <w:rsid w:val="00652F84"/>
    <w:rsid w:val="0065325E"/>
    <w:rsid w:val="00656EDB"/>
    <w:rsid w:val="00661E2D"/>
    <w:rsid w:val="00672CEA"/>
    <w:rsid w:val="00681D0D"/>
    <w:rsid w:val="006821B4"/>
    <w:rsid w:val="00683B44"/>
    <w:rsid w:val="00687F9D"/>
    <w:rsid w:val="006903C5"/>
    <w:rsid w:val="006959F9"/>
    <w:rsid w:val="00695D7E"/>
    <w:rsid w:val="006A153A"/>
    <w:rsid w:val="006A2DAF"/>
    <w:rsid w:val="006A542D"/>
    <w:rsid w:val="006A5C60"/>
    <w:rsid w:val="006A5E17"/>
    <w:rsid w:val="006A603A"/>
    <w:rsid w:val="006B3F5C"/>
    <w:rsid w:val="006B5656"/>
    <w:rsid w:val="006B6E8C"/>
    <w:rsid w:val="006C0B3B"/>
    <w:rsid w:val="006C62B2"/>
    <w:rsid w:val="006C6B02"/>
    <w:rsid w:val="006D1AD3"/>
    <w:rsid w:val="006D251B"/>
    <w:rsid w:val="006D4ADE"/>
    <w:rsid w:val="006E4D0A"/>
    <w:rsid w:val="006E61B7"/>
    <w:rsid w:val="006E637B"/>
    <w:rsid w:val="006E7BF9"/>
    <w:rsid w:val="006E7D49"/>
    <w:rsid w:val="006F1722"/>
    <w:rsid w:val="006F1FBB"/>
    <w:rsid w:val="007015BC"/>
    <w:rsid w:val="00705948"/>
    <w:rsid w:val="00706154"/>
    <w:rsid w:val="00706EBA"/>
    <w:rsid w:val="00711BE2"/>
    <w:rsid w:val="007170E7"/>
    <w:rsid w:val="0071722D"/>
    <w:rsid w:val="00720D2B"/>
    <w:rsid w:val="00720E0E"/>
    <w:rsid w:val="0072364B"/>
    <w:rsid w:val="00725980"/>
    <w:rsid w:val="0073174C"/>
    <w:rsid w:val="0073431E"/>
    <w:rsid w:val="00734CA7"/>
    <w:rsid w:val="007356F8"/>
    <w:rsid w:val="00735C5F"/>
    <w:rsid w:val="00737EAE"/>
    <w:rsid w:val="00740070"/>
    <w:rsid w:val="00740388"/>
    <w:rsid w:val="0074783D"/>
    <w:rsid w:val="007527E5"/>
    <w:rsid w:val="007551E5"/>
    <w:rsid w:val="00756116"/>
    <w:rsid w:val="007656D0"/>
    <w:rsid w:val="00766521"/>
    <w:rsid w:val="007722F1"/>
    <w:rsid w:val="00772CA6"/>
    <w:rsid w:val="00772CC5"/>
    <w:rsid w:val="007736B9"/>
    <w:rsid w:val="00775634"/>
    <w:rsid w:val="00777B8E"/>
    <w:rsid w:val="00786C5B"/>
    <w:rsid w:val="00786F74"/>
    <w:rsid w:val="00790C15"/>
    <w:rsid w:val="00790D1F"/>
    <w:rsid w:val="007939DB"/>
    <w:rsid w:val="00794619"/>
    <w:rsid w:val="00795D6B"/>
    <w:rsid w:val="007A093F"/>
    <w:rsid w:val="007A1F9E"/>
    <w:rsid w:val="007A5F5C"/>
    <w:rsid w:val="007B131D"/>
    <w:rsid w:val="007B38CE"/>
    <w:rsid w:val="007B588D"/>
    <w:rsid w:val="007C2724"/>
    <w:rsid w:val="007C6B66"/>
    <w:rsid w:val="007D4F6D"/>
    <w:rsid w:val="007D6016"/>
    <w:rsid w:val="007F0438"/>
    <w:rsid w:val="007F3806"/>
    <w:rsid w:val="007F56B1"/>
    <w:rsid w:val="008038E0"/>
    <w:rsid w:val="00806891"/>
    <w:rsid w:val="0081049F"/>
    <w:rsid w:val="008138EA"/>
    <w:rsid w:val="0082155C"/>
    <w:rsid w:val="00826C0C"/>
    <w:rsid w:val="008346C7"/>
    <w:rsid w:val="00846566"/>
    <w:rsid w:val="008469BF"/>
    <w:rsid w:val="00860146"/>
    <w:rsid w:val="00862851"/>
    <w:rsid w:val="0087309C"/>
    <w:rsid w:val="00874DC3"/>
    <w:rsid w:val="008754BF"/>
    <w:rsid w:val="00876F9D"/>
    <w:rsid w:val="008842B9"/>
    <w:rsid w:val="008849DF"/>
    <w:rsid w:val="00884B92"/>
    <w:rsid w:val="0088766A"/>
    <w:rsid w:val="00895AAC"/>
    <w:rsid w:val="008A0950"/>
    <w:rsid w:val="008A2A1A"/>
    <w:rsid w:val="008A33FB"/>
    <w:rsid w:val="008A38C8"/>
    <w:rsid w:val="008A4C93"/>
    <w:rsid w:val="008A5984"/>
    <w:rsid w:val="008A78A4"/>
    <w:rsid w:val="008B1DE6"/>
    <w:rsid w:val="008B7606"/>
    <w:rsid w:val="008B7CEC"/>
    <w:rsid w:val="008C0733"/>
    <w:rsid w:val="008C2051"/>
    <w:rsid w:val="008C4858"/>
    <w:rsid w:val="008C48AB"/>
    <w:rsid w:val="008C592A"/>
    <w:rsid w:val="008C5DA7"/>
    <w:rsid w:val="008C6C4C"/>
    <w:rsid w:val="008C6F1A"/>
    <w:rsid w:val="008C7FC3"/>
    <w:rsid w:val="008D2A0C"/>
    <w:rsid w:val="008D38FC"/>
    <w:rsid w:val="008D732D"/>
    <w:rsid w:val="008E4606"/>
    <w:rsid w:val="008E4A6B"/>
    <w:rsid w:val="008E4C5F"/>
    <w:rsid w:val="008E55B4"/>
    <w:rsid w:val="008E7BE1"/>
    <w:rsid w:val="008F18BB"/>
    <w:rsid w:val="008F1C8A"/>
    <w:rsid w:val="008F651C"/>
    <w:rsid w:val="00903D93"/>
    <w:rsid w:val="0090423A"/>
    <w:rsid w:val="00904462"/>
    <w:rsid w:val="009065CD"/>
    <w:rsid w:val="00913376"/>
    <w:rsid w:val="00913398"/>
    <w:rsid w:val="0091443F"/>
    <w:rsid w:val="00916B28"/>
    <w:rsid w:val="0091702A"/>
    <w:rsid w:val="0092089C"/>
    <w:rsid w:val="009220C8"/>
    <w:rsid w:val="00922369"/>
    <w:rsid w:val="00922809"/>
    <w:rsid w:val="00931998"/>
    <w:rsid w:val="00940F15"/>
    <w:rsid w:val="00941255"/>
    <w:rsid w:val="009447C2"/>
    <w:rsid w:val="00944C32"/>
    <w:rsid w:val="00945485"/>
    <w:rsid w:val="009535DB"/>
    <w:rsid w:val="009538FB"/>
    <w:rsid w:val="009555C9"/>
    <w:rsid w:val="0096208D"/>
    <w:rsid w:val="00962AA3"/>
    <w:rsid w:val="00962AA7"/>
    <w:rsid w:val="00964E18"/>
    <w:rsid w:val="00967D56"/>
    <w:rsid w:val="0097022C"/>
    <w:rsid w:val="00971D35"/>
    <w:rsid w:val="00972E92"/>
    <w:rsid w:val="009775EC"/>
    <w:rsid w:val="00977817"/>
    <w:rsid w:val="009800FA"/>
    <w:rsid w:val="0098114C"/>
    <w:rsid w:val="0098278E"/>
    <w:rsid w:val="00983FAC"/>
    <w:rsid w:val="0098459F"/>
    <w:rsid w:val="00985D09"/>
    <w:rsid w:val="00990A56"/>
    <w:rsid w:val="00991A48"/>
    <w:rsid w:val="00992278"/>
    <w:rsid w:val="00992314"/>
    <w:rsid w:val="009933A5"/>
    <w:rsid w:val="00997C89"/>
    <w:rsid w:val="009A0D63"/>
    <w:rsid w:val="009A2E9C"/>
    <w:rsid w:val="009A34DF"/>
    <w:rsid w:val="009A3AC8"/>
    <w:rsid w:val="009A69CE"/>
    <w:rsid w:val="009B4318"/>
    <w:rsid w:val="009B77D6"/>
    <w:rsid w:val="009C122F"/>
    <w:rsid w:val="009C1988"/>
    <w:rsid w:val="009C1CA4"/>
    <w:rsid w:val="009C3D5A"/>
    <w:rsid w:val="009D03C5"/>
    <w:rsid w:val="009D0FE2"/>
    <w:rsid w:val="009D1ED3"/>
    <w:rsid w:val="009D1FC5"/>
    <w:rsid w:val="009D391C"/>
    <w:rsid w:val="009E165B"/>
    <w:rsid w:val="009E3E74"/>
    <w:rsid w:val="009E4A88"/>
    <w:rsid w:val="009E54FF"/>
    <w:rsid w:val="009E57B3"/>
    <w:rsid w:val="009E7AB1"/>
    <w:rsid w:val="009E7EC2"/>
    <w:rsid w:val="009F0CE6"/>
    <w:rsid w:val="009F11C5"/>
    <w:rsid w:val="009F423A"/>
    <w:rsid w:val="009F6971"/>
    <w:rsid w:val="00A001B6"/>
    <w:rsid w:val="00A025A0"/>
    <w:rsid w:val="00A0349D"/>
    <w:rsid w:val="00A03E25"/>
    <w:rsid w:val="00A0407D"/>
    <w:rsid w:val="00A05058"/>
    <w:rsid w:val="00A06591"/>
    <w:rsid w:val="00A14104"/>
    <w:rsid w:val="00A17C6F"/>
    <w:rsid w:val="00A2250E"/>
    <w:rsid w:val="00A2473C"/>
    <w:rsid w:val="00A24BCB"/>
    <w:rsid w:val="00A3053D"/>
    <w:rsid w:val="00A3084A"/>
    <w:rsid w:val="00A31A12"/>
    <w:rsid w:val="00A32B0B"/>
    <w:rsid w:val="00A357D5"/>
    <w:rsid w:val="00A44235"/>
    <w:rsid w:val="00A44E0F"/>
    <w:rsid w:val="00A534D1"/>
    <w:rsid w:val="00A54F81"/>
    <w:rsid w:val="00A56448"/>
    <w:rsid w:val="00A667D1"/>
    <w:rsid w:val="00A67091"/>
    <w:rsid w:val="00A701BD"/>
    <w:rsid w:val="00A71D99"/>
    <w:rsid w:val="00A73A4D"/>
    <w:rsid w:val="00A753BC"/>
    <w:rsid w:val="00A76B67"/>
    <w:rsid w:val="00A7706C"/>
    <w:rsid w:val="00A80D1D"/>
    <w:rsid w:val="00A83DAF"/>
    <w:rsid w:val="00A84EE4"/>
    <w:rsid w:val="00A85392"/>
    <w:rsid w:val="00A90578"/>
    <w:rsid w:val="00A90D51"/>
    <w:rsid w:val="00A933AF"/>
    <w:rsid w:val="00A937AD"/>
    <w:rsid w:val="00A9685F"/>
    <w:rsid w:val="00A96DA9"/>
    <w:rsid w:val="00AA1994"/>
    <w:rsid w:val="00AA52D7"/>
    <w:rsid w:val="00AA5A11"/>
    <w:rsid w:val="00AA6F7F"/>
    <w:rsid w:val="00AA7DF6"/>
    <w:rsid w:val="00AB30A7"/>
    <w:rsid w:val="00AB515C"/>
    <w:rsid w:val="00AB545F"/>
    <w:rsid w:val="00AB6E0E"/>
    <w:rsid w:val="00AC15FA"/>
    <w:rsid w:val="00AC20DC"/>
    <w:rsid w:val="00AD3292"/>
    <w:rsid w:val="00AD3723"/>
    <w:rsid w:val="00AD3B54"/>
    <w:rsid w:val="00AE00B0"/>
    <w:rsid w:val="00AE5EB7"/>
    <w:rsid w:val="00AE65F7"/>
    <w:rsid w:val="00AE70DE"/>
    <w:rsid w:val="00AF0700"/>
    <w:rsid w:val="00AF373C"/>
    <w:rsid w:val="00AF3753"/>
    <w:rsid w:val="00AF5040"/>
    <w:rsid w:val="00AF6206"/>
    <w:rsid w:val="00B116A2"/>
    <w:rsid w:val="00B1684D"/>
    <w:rsid w:val="00B22655"/>
    <w:rsid w:val="00B2380F"/>
    <w:rsid w:val="00B252F1"/>
    <w:rsid w:val="00B31195"/>
    <w:rsid w:val="00B31742"/>
    <w:rsid w:val="00B351A9"/>
    <w:rsid w:val="00B35486"/>
    <w:rsid w:val="00B35AD7"/>
    <w:rsid w:val="00B37D65"/>
    <w:rsid w:val="00B40617"/>
    <w:rsid w:val="00B40FD5"/>
    <w:rsid w:val="00B4534E"/>
    <w:rsid w:val="00B4555E"/>
    <w:rsid w:val="00B45A46"/>
    <w:rsid w:val="00B46BD1"/>
    <w:rsid w:val="00B5505C"/>
    <w:rsid w:val="00B556AF"/>
    <w:rsid w:val="00B559AB"/>
    <w:rsid w:val="00B56655"/>
    <w:rsid w:val="00B631BD"/>
    <w:rsid w:val="00B64ABC"/>
    <w:rsid w:val="00B70868"/>
    <w:rsid w:val="00B82572"/>
    <w:rsid w:val="00B84043"/>
    <w:rsid w:val="00B85B15"/>
    <w:rsid w:val="00B903E8"/>
    <w:rsid w:val="00B9517A"/>
    <w:rsid w:val="00B9524C"/>
    <w:rsid w:val="00B9594A"/>
    <w:rsid w:val="00B9741F"/>
    <w:rsid w:val="00BA3922"/>
    <w:rsid w:val="00BA4954"/>
    <w:rsid w:val="00BA5941"/>
    <w:rsid w:val="00BA6523"/>
    <w:rsid w:val="00BB4A3F"/>
    <w:rsid w:val="00BB6931"/>
    <w:rsid w:val="00BC1164"/>
    <w:rsid w:val="00BC1A13"/>
    <w:rsid w:val="00BC538F"/>
    <w:rsid w:val="00BC6A1E"/>
    <w:rsid w:val="00BD057D"/>
    <w:rsid w:val="00BD1210"/>
    <w:rsid w:val="00BD220A"/>
    <w:rsid w:val="00BD291F"/>
    <w:rsid w:val="00BD3B93"/>
    <w:rsid w:val="00BD7243"/>
    <w:rsid w:val="00BE0522"/>
    <w:rsid w:val="00BE3B45"/>
    <w:rsid w:val="00BE7B59"/>
    <w:rsid w:val="00BF3ED7"/>
    <w:rsid w:val="00BF4188"/>
    <w:rsid w:val="00BF55F0"/>
    <w:rsid w:val="00C064EB"/>
    <w:rsid w:val="00C0678C"/>
    <w:rsid w:val="00C067EB"/>
    <w:rsid w:val="00C1055D"/>
    <w:rsid w:val="00C1617C"/>
    <w:rsid w:val="00C20E6F"/>
    <w:rsid w:val="00C23449"/>
    <w:rsid w:val="00C3052A"/>
    <w:rsid w:val="00C305AA"/>
    <w:rsid w:val="00C318CF"/>
    <w:rsid w:val="00C328C4"/>
    <w:rsid w:val="00C34C94"/>
    <w:rsid w:val="00C3707B"/>
    <w:rsid w:val="00C37F2D"/>
    <w:rsid w:val="00C4477A"/>
    <w:rsid w:val="00C45829"/>
    <w:rsid w:val="00C45A88"/>
    <w:rsid w:val="00C463A7"/>
    <w:rsid w:val="00C47589"/>
    <w:rsid w:val="00C475F8"/>
    <w:rsid w:val="00C47E61"/>
    <w:rsid w:val="00C55A34"/>
    <w:rsid w:val="00C55AD7"/>
    <w:rsid w:val="00C57244"/>
    <w:rsid w:val="00C62418"/>
    <w:rsid w:val="00C66D70"/>
    <w:rsid w:val="00C67C75"/>
    <w:rsid w:val="00C70644"/>
    <w:rsid w:val="00C75F21"/>
    <w:rsid w:val="00C76770"/>
    <w:rsid w:val="00C847F5"/>
    <w:rsid w:val="00C848A6"/>
    <w:rsid w:val="00C86968"/>
    <w:rsid w:val="00C87778"/>
    <w:rsid w:val="00C90324"/>
    <w:rsid w:val="00C9147C"/>
    <w:rsid w:val="00C91B86"/>
    <w:rsid w:val="00C9306E"/>
    <w:rsid w:val="00C940AA"/>
    <w:rsid w:val="00C967B7"/>
    <w:rsid w:val="00CA26B2"/>
    <w:rsid w:val="00CA7E56"/>
    <w:rsid w:val="00CB20EA"/>
    <w:rsid w:val="00CB5145"/>
    <w:rsid w:val="00CC4783"/>
    <w:rsid w:val="00CC7281"/>
    <w:rsid w:val="00CD0C03"/>
    <w:rsid w:val="00CD255E"/>
    <w:rsid w:val="00CD2701"/>
    <w:rsid w:val="00CD5C23"/>
    <w:rsid w:val="00CD797A"/>
    <w:rsid w:val="00CE07AA"/>
    <w:rsid w:val="00CE3A7A"/>
    <w:rsid w:val="00CE490B"/>
    <w:rsid w:val="00CE6588"/>
    <w:rsid w:val="00CF09ED"/>
    <w:rsid w:val="00CF0BD8"/>
    <w:rsid w:val="00CF14A3"/>
    <w:rsid w:val="00CF753C"/>
    <w:rsid w:val="00D00CD0"/>
    <w:rsid w:val="00D11FA1"/>
    <w:rsid w:val="00D12D31"/>
    <w:rsid w:val="00D14C2E"/>
    <w:rsid w:val="00D14E0F"/>
    <w:rsid w:val="00D161AB"/>
    <w:rsid w:val="00D23BE7"/>
    <w:rsid w:val="00D23E35"/>
    <w:rsid w:val="00D260A7"/>
    <w:rsid w:val="00D30CA1"/>
    <w:rsid w:val="00D41937"/>
    <w:rsid w:val="00D41994"/>
    <w:rsid w:val="00D42355"/>
    <w:rsid w:val="00D45C51"/>
    <w:rsid w:val="00D50BFE"/>
    <w:rsid w:val="00D51603"/>
    <w:rsid w:val="00D53D7A"/>
    <w:rsid w:val="00D55F96"/>
    <w:rsid w:val="00D56317"/>
    <w:rsid w:val="00D573D1"/>
    <w:rsid w:val="00D65E0B"/>
    <w:rsid w:val="00D661B9"/>
    <w:rsid w:val="00D70D7C"/>
    <w:rsid w:val="00D72CF7"/>
    <w:rsid w:val="00D7492D"/>
    <w:rsid w:val="00D75EA2"/>
    <w:rsid w:val="00D761F6"/>
    <w:rsid w:val="00D81FD8"/>
    <w:rsid w:val="00D8578B"/>
    <w:rsid w:val="00D9086A"/>
    <w:rsid w:val="00D91A64"/>
    <w:rsid w:val="00D93682"/>
    <w:rsid w:val="00D944ED"/>
    <w:rsid w:val="00DA234D"/>
    <w:rsid w:val="00DA2C6E"/>
    <w:rsid w:val="00DA59FD"/>
    <w:rsid w:val="00DB24F8"/>
    <w:rsid w:val="00DB4636"/>
    <w:rsid w:val="00DB50E3"/>
    <w:rsid w:val="00DC034D"/>
    <w:rsid w:val="00DC03A0"/>
    <w:rsid w:val="00DC2C7E"/>
    <w:rsid w:val="00DC2E85"/>
    <w:rsid w:val="00DC4C42"/>
    <w:rsid w:val="00DC54A2"/>
    <w:rsid w:val="00DC6992"/>
    <w:rsid w:val="00DD27BB"/>
    <w:rsid w:val="00DD4623"/>
    <w:rsid w:val="00DD59D0"/>
    <w:rsid w:val="00DE01EA"/>
    <w:rsid w:val="00DE2438"/>
    <w:rsid w:val="00DE6D7A"/>
    <w:rsid w:val="00DF5C2C"/>
    <w:rsid w:val="00DF738B"/>
    <w:rsid w:val="00E025EA"/>
    <w:rsid w:val="00E0355D"/>
    <w:rsid w:val="00E0734C"/>
    <w:rsid w:val="00E12AFF"/>
    <w:rsid w:val="00E151A3"/>
    <w:rsid w:val="00E16EAE"/>
    <w:rsid w:val="00E17703"/>
    <w:rsid w:val="00E255E2"/>
    <w:rsid w:val="00E2753A"/>
    <w:rsid w:val="00E30BB2"/>
    <w:rsid w:val="00E3409D"/>
    <w:rsid w:val="00E3540D"/>
    <w:rsid w:val="00E4107E"/>
    <w:rsid w:val="00E44253"/>
    <w:rsid w:val="00E47DE2"/>
    <w:rsid w:val="00E571CC"/>
    <w:rsid w:val="00E574DE"/>
    <w:rsid w:val="00E577C9"/>
    <w:rsid w:val="00E57C70"/>
    <w:rsid w:val="00E61559"/>
    <w:rsid w:val="00E62E1E"/>
    <w:rsid w:val="00E63A2B"/>
    <w:rsid w:val="00E65591"/>
    <w:rsid w:val="00E67E79"/>
    <w:rsid w:val="00E70A0F"/>
    <w:rsid w:val="00E72799"/>
    <w:rsid w:val="00E744CF"/>
    <w:rsid w:val="00E762C3"/>
    <w:rsid w:val="00E8263A"/>
    <w:rsid w:val="00E82793"/>
    <w:rsid w:val="00E85E43"/>
    <w:rsid w:val="00E86E36"/>
    <w:rsid w:val="00E90604"/>
    <w:rsid w:val="00E96397"/>
    <w:rsid w:val="00E972B1"/>
    <w:rsid w:val="00EA2757"/>
    <w:rsid w:val="00EA51D8"/>
    <w:rsid w:val="00EA676E"/>
    <w:rsid w:val="00EA7469"/>
    <w:rsid w:val="00EB3596"/>
    <w:rsid w:val="00EB72A3"/>
    <w:rsid w:val="00EC0632"/>
    <w:rsid w:val="00EC1172"/>
    <w:rsid w:val="00EC44E0"/>
    <w:rsid w:val="00EC51C1"/>
    <w:rsid w:val="00EC52E7"/>
    <w:rsid w:val="00EC6A3F"/>
    <w:rsid w:val="00ED4CE9"/>
    <w:rsid w:val="00EE0950"/>
    <w:rsid w:val="00EE14A7"/>
    <w:rsid w:val="00EE14F6"/>
    <w:rsid w:val="00EE30EB"/>
    <w:rsid w:val="00EE43AF"/>
    <w:rsid w:val="00EE4ADA"/>
    <w:rsid w:val="00EE4E70"/>
    <w:rsid w:val="00EE763E"/>
    <w:rsid w:val="00EF0B5B"/>
    <w:rsid w:val="00EF47AB"/>
    <w:rsid w:val="00EF4B31"/>
    <w:rsid w:val="00F034B5"/>
    <w:rsid w:val="00F05F76"/>
    <w:rsid w:val="00F125E2"/>
    <w:rsid w:val="00F16C4C"/>
    <w:rsid w:val="00F17DDB"/>
    <w:rsid w:val="00F20689"/>
    <w:rsid w:val="00F20D34"/>
    <w:rsid w:val="00F22C3A"/>
    <w:rsid w:val="00F350AA"/>
    <w:rsid w:val="00F3793D"/>
    <w:rsid w:val="00F40076"/>
    <w:rsid w:val="00F41A9C"/>
    <w:rsid w:val="00F42085"/>
    <w:rsid w:val="00F42EA6"/>
    <w:rsid w:val="00F4367A"/>
    <w:rsid w:val="00F4383F"/>
    <w:rsid w:val="00F458B6"/>
    <w:rsid w:val="00F459EF"/>
    <w:rsid w:val="00F565F4"/>
    <w:rsid w:val="00F7167B"/>
    <w:rsid w:val="00F71BD3"/>
    <w:rsid w:val="00F72947"/>
    <w:rsid w:val="00F76810"/>
    <w:rsid w:val="00F768C0"/>
    <w:rsid w:val="00F77163"/>
    <w:rsid w:val="00F7771F"/>
    <w:rsid w:val="00F7776A"/>
    <w:rsid w:val="00F814E3"/>
    <w:rsid w:val="00F82B06"/>
    <w:rsid w:val="00F86551"/>
    <w:rsid w:val="00F91E91"/>
    <w:rsid w:val="00F94D74"/>
    <w:rsid w:val="00F971D6"/>
    <w:rsid w:val="00FA0142"/>
    <w:rsid w:val="00FA08D7"/>
    <w:rsid w:val="00FA1824"/>
    <w:rsid w:val="00FA3B77"/>
    <w:rsid w:val="00FB517D"/>
    <w:rsid w:val="00FC3EAD"/>
    <w:rsid w:val="00FC4573"/>
    <w:rsid w:val="00FD49EA"/>
    <w:rsid w:val="00FD76F4"/>
    <w:rsid w:val="00FE7C1B"/>
    <w:rsid w:val="00FF0BCA"/>
    <w:rsid w:val="00FF395F"/>
    <w:rsid w:val="00FF4D1C"/>
    <w:rsid w:val="00FF623F"/>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EC2"/>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4">
    <w:name w:val="heading 4"/>
    <w:basedOn w:val="Normal"/>
    <w:next w:val="Normal"/>
    <w:qFormat/>
    <w:rsid w:val="007B588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table" w:styleId="TableGrid">
    <w:name w:val="Table Grid"/>
    <w:basedOn w:val="TableNormal"/>
    <w:rsid w:val="0049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51603"/>
    <w:pPr>
      <w:spacing w:after="220" w:line="180" w:lineRule="atLeast"/>
      <w:jc w:val="both"/>
    </w:pPr>
    <w:rPr>
      <w:rFonts w:ascii="Times New Roman" w:hAnsi="Times New Roman"/>
      <w:sz w:val="22"/>
      <w:szCs w:val="20"/>
    </w:rPr>
  </w:style>
  <w:style w:type="paragraph" w:styleId="BodyText2">
    <w:name w:val="Body Text 2"/>
    <w:basedOn w:val="Normal"/>
    <w:rsid w:val="005F542D"/>
    <w:pPr>
      <w:spacing w:after="120" w:line="480" w:lineRule="auto"/>
    </w:pPr>
  </w:style>
  <w:style w:type="paragraph" w:styleId="ListParagraph">
    <w:name w:val="List Paragraph"/>
    <w:basedOn w:val="Normal"/>
    <w:uiPriority w:val="34"/>
    <w:qFormat/>
    <w:rsid w:val="0073174C"/>
    <w:pPr>
      <w:ind w:left="720"/>
    </w:pPr>
  </w:style>
  <w:style w:type="paragraph" w:styleId="Revision">
    <w:name w:val="Revision"/>
    <w:hidden/>
    <w:uiPriority w:val="99"/>
    <w:semiHidden/>
    <w:rsid w:val="00962AA7"/>
    <w:rPr>
      <w:rFonts w:ascii="Arial" w:hAnsi="Arial"/>
      <w:sz w:val="24"/>
      <w:szCs w:val="24"/>
      <w:lang w:eastAsia="en-US"/>
    </w:rPr>
  </w:style>
  <w:style w:type="character" w:styleId="Hyperlink">
    <w:name w:val="Hyperlink"/>
    <w:unhideWhenUsed/>
    <w:rsid w:val="00683B44"/>
    <w:rPr>
      <w:color w:val="0000FF"/>
      <w:u w:val="single"/>
    </w:rPr>
  </w:style>
  <w:style w:type="paragraph" w:styleId="FootnoteText">
    <w:name w:val="footnote text"/>
    <w:basedOn w:val="Normal"/>
    <w:link w:val="FootnoteTextChar"/>
    <w:unhideWhenUsed/>
    <w:rsid w:val="00683B44"/>
    <w:rPr>
      <w:sz w:val="20"/>
      <w:szCs w:val="20"/>
    </w:rPr>
  </w:style>
  <w:style w:type="character" w:customStyle="1" w:styleId="FootnoteTextChar">
    <w:name w:val="Footnote Text Char"/>
    <w:basedOn w:val="DefaultParagraphFont"/>
    <w:link w:val="FootnoteText"/>
    <w:rsid w:val="00683B44"/>
    <w:rPr>
      <w:rFonts w:ascii="Arial" w:hAnsi="Arial"/>
      <w:lang w:eastAsia="en-US"/>
    </w:rPr>
  </w:style>
  <w:style w:type="character" w:styleId="FootnoteReference">
    <w:name w:val="footnote reference"/>
    <w:unhideWhenUsed/>
    <w:rsid w:val="00683B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EC2"/>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4">
    <w:name w:val="heading 4"/>
    <w:basedOn w:val="Normal"/>
    <w:next w:val="Normal"/>
    <w:qFormat/>
    <w:rsid w:val="007B588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table" w:styleId="TableGrid">
    <w:name w:val="Table Grid"/>
    <w:basedOn w:val="TableNormal"/>
    <w:rsid w:val="0049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51603"/>
    <w:pPr>
      <w:spacing w:after="220" w:line="180" w:lineRule="atLeast"/>
      <w:jc w:val="both"/>
    </w:pPr>
    <w:rPr>
      <w:rFonts w:ascii="Times New Roman" w:hAnsi="Times New Roman"/>
      <w:sz w:val="22"/>
      <w:szCs w:val="20"/>
    </w:rPr>
  </w:style>
  <w:style w:type="paragraph" w:styleId="BodyText2">
    <w:name w:val="Body Text 2"/>
    <w:basedOn w:val="Normal"/>
    <w:rsid w:val="005F542D"/>
    <w:pPr>
      <w:spacing w:after="120" w:line="480" w:lineRule="auto"/>
    </w:pPr>
  </w:style>
  <w:style w:type="paragraph" w:styleId="ListParagraph">
    <w:name w:val="List Paragraph"/>
    <w:basedOn w:val="Normal"/>
    <w:uiPriority w:val="34"/>
    <w:qFormat/>
    <w:rsid w:val="0073174C"/>
    <w:pPr>
      <w:ind w:left="720"/>
    </w:pPr>
  </w:style>
  <w:style w:type="paragraph" w:styleId="Revision">
    <w:name w:val="Revision"/>
    <w:hidden/>
    <w:uiPriority w:val="99"/>
    <w:semiHidden/>
    <w:rsid w:val="00962AA7"/>
    <w:rPr>
      <w:rFonts w:ascii="Arial" w:hAnsi="Arial"/>
      <w:sz w:val="24"/>
      <w:szCs w:val="24"/>
      <w:lang w:eastAsia="en-US"/>
    </w:rPr>
  </w:style>
  <w:style w:type="character" w:styleId="Hyperlink">
    <w:name w:val="Hyperlink"/>
    <w:unhideWhenUsed/>
    <w:rsid w:val="00683B44"/>
    <w:rPr>
      <w:color w:val="0000FF"/>
      <w:u w:val="single"/>
    </w:rPr>
  </w:style>
  <w:style w:type="paragraph" w:styleId="FootnoteText">
    <w:name w:val="footnote text"/>
    <w:basedOn w:val="Normal"/>
    <w:link w:val="FootnoteTextChar"/>
    <w:unhideWhenUsed/>
    <w:rsid w:val="00683B44"/>
    <w:rPr>
      <w:sz w:val="20"/>
      <w:szCs w:val="20"/>
    </w:rPr>
  </w:style>
  <w:style w:type="character" w:customStyle="1" w:styleId="FootnoteTextChar">
    <w:name w:val="Footnote Text Char"/>
    <w:basedOn w:val="DefaultParagraphFont"/>
    <w:link w:val="FootnoteText"/>
    <w:rsid w:val="00683B44"/>
    <w:rPr>
      <w:rFonts w:ascii="Arial" w:hAnsi="Arial"/>
      <w:lang w:eastAsia="en-US"/>
    </w:rPr>
  </w:style>
  <w:style w:type="character" w:styleId="FootnoteReference">
    <w:name w:val="footnote reference"/>
    <w:unhideWhenUsed/>
    <w:rsid w:val="00683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884">
      <w:bodyDiv w:val="1"/>
      <w:marLeft w:val="0"/>
      <w:marRight w:val="0"/>
      <w:marTop w:val="0"/>
      <w:marBottom w:val="0"/>
      <w:divBdr>
        <w:top w:val="none" w:sz="0" w:space="0" w:color="auto"/>
        <w:left w:val="none" w:sz="0" w:space="0" w:color="auto"/>
        <w:bottom w:val="none" w:sz="0" w:space="0" w:color="auto"/>
        <w:right w:val="none" w:sz="0" w:space="0" w:color="auto"/>
      </w:divBdr>
    </w:div>
    <w:div w:id="164828565">
      <w:bodyDiv w:val="1"/>
      <w:marLeft w:val="0"/>
      <w:marRight w:val="0"/>
      <w:marTop w:val="0"/>
      <w:marBottom w:val="0"/>
      <w:divBdr>
        <w:top w:val="none" w:sz="0" w:space="0" w:color="auto"/>
        <w:left w:val="none" w:sz="0" w:space="0" w:color="auto"/>
        <w:bottom w:val="none" w:sz="0" w:space="0" w:color="auto"/>
        <w:right w:val="none" w:sz="0" w:space="0" w:color="auto"/>
      </w:divBdr>
    </w:div>
    <w:div w:id="358286956">
      <w:bodyDiv w:val="1"/>
      <w:marLeft w:val="0"/>
      <w:marRight w:val="0"/>
      <w:marTop w:val="0"/>
      <w:marBottom w:val="0"/>
      <w:divBdr>
        <w:top w:val="none" w:sz="0" w:space="0" w:color="auto"/>
        <w:left w:val="none" w:sz="0" w:space="0" w:color="auto"/>
        <w:bottom w:val="none" w:sz="0" w:space="0" w:color="auto"/>
        <w:right w:val="none" w:sz="0" w:space="0" w:color="auto"/>
      </w:divBdr>
    </w:div>
    <w:div w:id="386032692">
      <w:bodyDiv w:val="1"/>
      <w:marLeft w:val="0"/>
      <w:marRight w:val="0"/>
      <w:marTop w:val="0"/>
      <w:marBottom w:val="0"/>
      <w:divBdr>
        <w:top w:val="none" w:sz="0" w:space="0" w:color="auto"/>
        <w:left w:val="none" w:sz="0" w:space="0" w:color="auto"/>
        <w:bottom w:val="none" w:sz="0" w:space="0" w:color="auto"/>
        <w:right w:val="none" w:sz="0" w:space="0" w:color="auto"/>
      </w:divBdr>
    </w:div>
    <w:div w:id="573394596">
      <w:bodyDiv w:val="1"/>
      <w:marLeft w:val="0"/>
      <w:marRight w:val="0"/>
      <w:marTop w:val="0"/>
      <w:marBottom w:val="0"/>
      <w:divBdr>
        <w:top w:val="none" w:sz="0" w:space="0" w:color="auto"/>
        <w:left w:val="none" w:sz="0" w:space="0" w:color="auto"/>
        <w:bottom w:val="none" w:sz="0" w:space="0" w:color="auto"/>
        <w:right w:val="none" w:sz="0" w:space="0" w:color="auto"/>
      </w:divBdr>
    </w:div>
    <w:div w:id="644238599">
      <w:bodyDiv w:val="1"/>
      <w:marLeft w:val="0"/>
      <w:marRight w:val="0"/>
      <w:marTop w:val="0"/>
      <w:marBottom w:val="0"/>
      <w:divBdr>
        <w:top w:val="none" w:sz="0" w:space="0" w:color="auto"/>
        <w:left w:val="none" w:sz="0" w:space="0" w:color="auto"/>
        <w:bottom w:val="none" w:sz="0" w:space="0" w:color="auto"/>
        <w:right w:val="none" w:sz="0" w:space="0" w:color="auto"/>
      </w:divBdr>
    </w:div>
    <w:div w:id="762068547">
      <w:bodyDiv w:val="1"/>
      <w:marLeft w:val="0"/>
      <w:marRight w:val="0"/>
      <w:marTop w:val="0"/>
      <w:marBottom w:val="0"/>
      <w:divBdr>
        <w:top w:val="none" w:sz="0" w:space="0" w:color="auto"/>
        <w:left w:val="none" w:sz="0" w:space="0" w:color="auto"/>
        <w:bottom w:val="none" w:sz="0" w:space="0" w:color="auto"/>
        <w:right w:val="none" w:sz="0" w:space="0" w:color="auto"/>
      </w:divBdr>
    </w:div>
    <w:div w:id="1084450585">
      <w:bodyDiv w:val="1"/>
      <w:marLeft w:val="0"/>
      <w:marRight w:val="0"/>
      <w:marTop w:val="0"/>
      <w:marBottom w:val="0"/>
      <w:divBdr>
        <w:top w:val="none" w:sz="0" w:space="0" w:color="auto"/>
        <w:left w:val="none" w:sz="0" w:space="0" w:color="auto"/>
        <w:bottom w:val="none" w:sz="0" w:space="0" w:color="auto"/>
        <w:right w:val="none" w:sz="0" w:space="0" w:color="auto"/>
      </w:divBdr>
    </w:div>
    <w:div w:id="1379621381">
      <w:bodyDiv w:val="1"/>
      <w:marLeft w:val="0"/>
      <w:marRight w:val="0"/>
      <w:marTop w:val="0"/>
      <w:marBottom w:val="0"/>
      <w:divBdr>
        <w:top w:val="none" w:sz="0" w:space="0" w:color="auto"/>
        <w:left w:val="none" w:sz="0" w:space="0" w:color="auto"/>
        <w:bottom w:val="none" w:sz="0" w:space="0" w:color="auto"/>
        <w:right w:val="none" w:sz="0" w:space="0" w:color="auto"/>
      </w:divBdr>
    </w:div>
    <w:div w:id="1456750370">
      <w:bodyDiv w:val="1"/>
      <w:marLeft w:val="0"/>
      <w:marRight w:val="0"/>
      <w:marTop w:val="0"/>
      <w:marBottom w:val="0"/>
      <w:divBdr>
        <w:top w:val="none" w:sz="0" w:space="0" w:color="auto"/>
        <w:left w:val="none" w:sz="0" w:space="0" w:color="auto"/>
        <w:bottom w:val="none" w:sz="0" w:space="0" w:color="auto"/>
        <w:right w:val="none" w:sz="0" w:space="0" w:color="auto"/>
      </w:divBdr>
    </w:div>
    <w:div w:id="1929271276">
      <w:bodyDiv w:val="1"/>
      <w:marLeft w:val="0"/>
      <w:marRight w:val="0"/>
      <w:marTop w:val="0"/>
      <w:marBottom w:val="0"/>
      <w:divBdr>
        <w:top w:val="none" w:sz="0" w:space="0" w:color="auto"/>
        <w:left w:val="none" w:sz="0" w:space="0" w:color="auto"/>
        <w:bottom w:val="none" w:sz="0" w:space="0" w:color="auto"/>
        <w:right w:val="none" w:sz="0" w:space="0" w:color="auto"/>
      </w:divBdr>
    </w:div>
    <w:div w:id="1969698257">
      <w:bodyDiv w:val="1"/>
      <w:marLeft w:val="0"/>
      <w:marRight w:val="0"/>
      <w:marTop w:val="0"/>
      <w:marBottom w:val="0"/>
      <w:divBdr>
        <w:top w:val="none" w:sz="0" w:space="0" w:color="auto"/>
        <w:left w:val="none" w:sz="0" w:space="0" w:color="auto"/>
        <w:bottom w:val="none" w:sz="0" w:space="0" w:color="auto"/>
        <w:right w:val="none" w:sz="0" w:space="0" w:color="auto"/>
      </w:divBdr>
    </w:div>
    <w:div w:id="2065181070">
      <w:bodyDiv w:val="1"/>
      <w:marLeft w:val="0"/>
      <w:marRight w:val="0"/>
      <w:marTop w:val="0"/>
      <w:marBottom w:val="0"/>
      <w:divBdr>
        <w:top w:val="none" w:sz="0" w:space="0" w:color="auto"/>
        <w:left w:val="none" w:sz="0" w:space="0" w:color="auto"/>
        <w:bottom w:val="none" w:sz="0" w:space="0" w:color="auto"/>
        <w:right w:val="none" w:sz="0" w:space="0" w:color="auto"/>
      </w:divBdr>
    </w:div>
    <w:div w:id="21106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7321-880C-47E1-BD4B-F7C9B412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6279125B</Template>
  <TotalTime>24</TotalTime>
  <Pages>10</Pages>
  <Words>2826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7</cp:revision>
  <cp:lastPrinted>2015-07-17T09:12:00Z</cp:lastPrinted>
  <dcterms:created xsi:type="dcterms:W3CDTF">2015-08-10T08:32:00Z</dcterms:created>
  <dcterms:modified xsi:type="dcterms:W3CDTF">2015-08-28T14:02:00Z</dcterms:modified>
</cp:coreProperties>
</file>